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0EBC5" w14:textId="5E60E436" w:rsidR="000C318E" w:rsidRPr="00543BF8" w:rsidRDefault="000C318E" w:rsidP="000C318E">
      <w:pPr>
        <w:pStyle w:val="Nadpis1"/>
        <w:tabs>
          <w:tab w:val="left" w:pos="0"/>
        </w:tabs>
        <w:spacing w:before="120" w:after="120"/>
        <w:jc w:val="center"/>
        <w:rPr>
          <w:rFonts w:ascii="Arial" w:eastAsia="Times New Roman" w:hAnsi="Arial" w:cs="Arial"/>
          <w:bCs w:val="0"/>
          <w:color w:val="auto"/>
          <w:sz w:val="22"/>
          <w:szCs w:val="22"/>
          <w:lang w:eastAsia="ar-SA"/>
        </w:rPr>
      </w:pPr>
      <w:r w:rsidRPr="00543BF8">
        <w:rPr>
          <w:rFonts w:ascii="Arial" w:eastAsia="Times New Roman" w:hAnsi="Arial" w:cs="Arial"/>
          <w:bCs w:val="0"/>
          <w:color w:val="auto"/>
          <w:sz w:val="22"/>
          <w:szCs w:val="22"/>
          <w:lang w:eastAsia="ar-SA"/>
        </w:rPr>
        <w:t xml:space="preserve">Příloha č. </w:t>
      </w:r>
      <w:r w:rsidR="0034763C">
        <w:rPr>
          <w:rFonts w:ascii="Arial" w:eastAsia="Times New Roman" w:hAnsi="Arial" w:cs="Arial"/>
          <w:bCs w:val="0"/>
          <w:color w:val="auto"/>
          <w:sz w:val="22"/>
          <w:szCs w:val="22"/>
          <w:lang w:eastAsia="ar-SA"/>
        </w:rPr>
        <w:t>6</w:t>
      </w:r>
    </w:p>
    <w:p w14:paraId="7B518ADA" w14:textId="77777777" w:rsidR="000C318E" w:rsidRPr="00543BF8" w:rsidRDefault="000C318E" w:rsidP="000C318E">
      <w:pPr>
        <w:jc w:val="center"/>
        <w:rPr>
          <w:rFonts w:ascii="Arial" w:hAnsi="Arial" w:cs="Arial"/>
          <w:lang w:eastAsia="ar-SA"/>
        </w:rPr>
      </w:pPr>
      <w:r w:rsidRPr="00543BF8">
        <w:rPr>
          <w:rFonts w:ascii="Arial" w:hAnsi="Arial" w:cs="Arial"/>
          <w:lang w:eastAsia="ar-SA"/>
        </w:rPr>
        <w:t>Smlouva o zpracování osobních údajů (závazný vzor smlouvy)</w:t>
      </w:r>
    </w:p>
    <w:p w14:paraId="2D6020AF" w14:textId="5AA2FD5D" w:rsidR="00273D40" w:rsidRPr="000C2CB7" w:rsidRDefault="00273D40" w:rsidP="00882B69">
      <w:pPr>
        <w:pStyle w:val="Nadpis1"/>
        <w:tabs>
          <w:tab w:val="left" w:pos="0"/>
        </w:tabs>
        <w:spacing w:before="120" w:after="120"/>
        <w:jc w:val="center"/>
        <w:rPr>
          <w:rFonts w:ascii="Arial" w:eastAsia="Times New Roman" w:hAnsi="Arial" w:cs="Arial"/>
          <w:bCs w:val="0"/>
          <w:color w:val="auto"/>
          <w:szCs w:val="20"/>
          <w:lang w:eastAsia="ar-SA"/>
        </w:rPr>
      </w:pPr>
      <w:r w:rsidRPr="000C2CB7">
        <w:rPr>
          <w:rFonts w:ascii="Arial" w:eastAsia="Times New Roman" w:hAnsi="Arial" w:cs="Arial"/>
          <w:bCs w:val="0"/>
          <w:color w:val="auto"/>
          <w:szCs w:val="20"/>
          <w:lang w:eastAsia="ar-SA"/>
        </w:rPr>
        <w:t>Smlouva o zpracování osobních údajů</w:t>
      </w:r>
      <w:r w:rsidR="00543BF8">
        <w:rPr>
          <w:rFonts w:ascii="Arial" w:eastAsia="Times New Roman" w:hAnsi="Arial" w:cs="Arial"/>
          <w:bCs w:val="0"/>
          <w:color w:val="auto"/>
          <w:szCs w:val="20"/>
          <w:lang w:eastAsia="ar-SA"/>
        </w:rPr>
        <w:t xml:space="preserve"> </w:t>
      </w:r>
    </w:p>
    <w:p w14:paraId="5BD2A327" w14:textId="77777777" w:rsidR="00273D40" w:rsidRPr="00273D40" w:rsidRDefault="00273D40" w:rsidP="00543BF8">
      <w:pPr>
        <w:suppressAutoHyphens/>
        <w:spacing w:before="120" w:after="12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AC9F73E" w14:textId="77777777" w:rsidR="00273D40" w:rsidRPr="00273D40" w:rsidRDefault="00273D40" w:rsidP="00882B69">
      <w:pPr>
        <w:suppressAutoHyphens/>
        <w:spacing w:before="120" w:after="12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uzavřená v souladu s článkem 28 odst. 3 GDPR (jak je definováno dále), a to níže uvedeného dne, měsíce a roku mezi následujícími smluvními stranami (dále jen jako „</w:t>
      </w:r>
      <w:r w:rsidRPr="00273D40">
        <w:rPr>
          <w:rFonts w:ascii="Arial" w:eastAsia="Times New Roman" w:hAnsi="Arial" w:cs="Arial"/>
          <w:b/>
          <w:sz w:val="20"/>
          <w:szCs w:val="20"/>
          <w:lang w:eastAsia="ar-SA"/>
        </w:rPr>
        <w:t>Smlouva o zpracování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“): </w:t>
      </w:r>
    </w:p>
    <w:p w14:paraId="711EEAD3" w14:textId="77777777" w:rsidR="00273D40" w:rsidRPr="00273D40" w:rsidRDefault="00273D40" w:rsidP="00882B69">
      <w:pPr>
        <w:tabs>
          <w:tab w:val="left" w:pos="283"/>
        </w:tabs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A2390AB" w14:textId="304A86FB" w:rsidR="00273D40" w:rsidRPr="00273D40" w:rsidRDefault="00B24A0E" w:rsidP="00882B69">
      <w:pPr>
        <w:numPr>
          <w:ilvl w:val="0"/>
          <w:numId w:val="7"/>
        </w:numPr>
        <w:suppressAutoHyphens/>
        <w:spacing w:before="120"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KORDIS JMK, a.s.</w:t>
      </w:r>
    </w:p>
    <w:p w14:paraId="5171DF3D" w14:textId="73494247" w:rsidR="00273D40" w:rsidRPr="00273D40" w:rsidRDefault="00273D40" w:rsidP="00882B69">
      <w:pPr>
        <w:spacing w:before="120" w:after="120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E54E9">
        <w:rPr>
          <w:rFonts w:ascii="Arial" w:eastAsia="Times New Roman" w:hAnsi="Arial" w:cs="Arial"/>
          <w:sz w:val="20"/>
          <w:szCs w:val="20"/>
          <w:lang w:eastAsia="ar-SA"/>
        </w:rPr>
        <w:t>IČO:</w:t>
      </w:r>
      <w:r w:rsidRPr="00273D4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B24A0E" w:rsidRPr="00B24A0E">
        <w:rPr>
          <w:rFonts w:ascii="Arial" w:eastAsia="Times New Roman" w:hAnsi="Arial" w:cs="Arial"/>
          <w:b/>
          <w:sz w:val="20"/>
          <w:szCs w:val="20"/>
          <w:lang w:eastAsia="ar-SA"/>
        </w:rPr>
        <w:t>262 98 465</w:t>
      </w:r>
    </w:p>
    <w:p w14:paraId="188E0F50" w14:textId="7FAAA0A3" w:rsidR="00273D40" w:rsidRPr="00273D40" w:rsidRDefault="00273D40" w:rsidP="00882B69">
      <w:pPr>
        <w:spacing w:before="120" w:after="120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E54E9">
        <w:rPr>
          <w:rFonts w:ascii="Arial" w:eastAsia="Times New Roman" w:hAnsi="Arial" w:cs="Arial"/>
          <w:sz w:val="20"/>
          <w:szCs w:val="20"/>
          <w:lang w:eastAsia="ar-SA"/>
        </w:rPr>
        <w:t>se sídlem:</w:t>
      </w:r>
      <w:r w:rsidRPr="00273D4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B24A0E" w:rsidRPr="00B24A0E">
        <w:rPr>
          <w:rFonts w:ascii="Arial" w:eastAsia="Times New Roman" w:hAnsi="Arial" w:cs="Arial"/>
          <w:b/>
          <w:sz w:val="20"/>
          <w:szCs w:val="20"/>
          <w:lang w:eastAsia="ar-SA"/>
        </w:rPr>
        <w:t>Nové sady 946/30, Staré Brno, 602 00 Brno</w:t>
      </w:r>
    </w:p>
    <w:p w14:paraId="1CEE35F9" w14:textId="2B476665" w:rsidR="00273D40" w:rsidRPr="00DA4BDC" w:rsidRDefault="00273D40" w:rsidP="00882B69">
      <w:pPr>
        <w:spacing w:before="120" w:after="120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A4BDC">
        <w:rPr>
          <w:rFonts w:ascii="Arial" w:eastAsia="Times New Roman" w:hAnsi="Arial" w:cs="Arial"/>
          <w:sz w:val="20"/>
          <w:szCs w:val="20"/>
          <w:lang w:eastAsia="ar-SA"/>
        </w:rPr>
        <w:t xml:space="preserve">zapsaná v obchodním rejstříku vedeném u </w:t>
      </w:r>
      <w:r w:rsidR="00B24A0E">
        <w:rPr>
          <w:rFonts w:ascii="Arial" w:eastAsia="Times New Roman" w:hAnsi="Arial" w:cs="Arial"/>
          <w:sz w:val="20"/>
          <w:szCs w:val="20"/>
          <w:lang w:eastAsia="ar-SA"/>
        </w:rPr>
        <w:t xml:space="preserve">Krajského </w:t>
      </w:r>
      <w:r w:rsidRPr="00DA4BDC">
        <w:rPr>
          <w:rFonts w:ascii="Arial" w:eastAsia="Times New Roman" w:hAnsi="Arial" w:cs="Arial"/>
          <w:sz w:val="20"/>
          <w:szCs w:val="20"/>
          <w:lang w:eastAsia="ar-SA"/>
        </w:rPr>
        <w:t>soudu v </w:t>
      </w:r>
      <w:r w:rsidR="00B24A0E">
        <w:rPr>
          <w:rFonts w:ascii="Arial" w:eastAsia="Times New Roman" w:hAnsi="Arial" w:cs="Arial"/>
          <w:sz w:val="20"/>
          <w:szCs w:val="20"/>
          <w:lang w:eastAsia="ar-SA"/>
        </w:rPr>
        <w:t>Brně</w:t>
      </w:r>
      <w:r w:rsidRPr="00DA4BD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proofErr w:type="spellStart"/>
      <w:r w:rsidRPr="00DA4BDC">
        <w:rPr>
          <w:rFonts w:ascii="Arial" w:eastAsia="Times New Roman" w:hAnsi="Arial" w:cs="Arial"/>
          <w:sz w:val="20"/>
          <w:szCs w:val="20"/>
          <w:lang w:eastAsia="ar-SA"/>
        </w:rPr>
        <w:t>sp</w:t>
      </w:r>
      <w:proofErr w:type="spellEnd"/>
      <w:r w:rsidRPr="00DA4BDC">
        <w:rPr>
          <w:rFonts w:ascii="Arial" w:eastAsia="Times New Roman" w:hAnsi="Arial" w:cs="Arial"/>
          <w:sz w:val="20"/>
          <w:szCs w:val="20"/>
          <w:lang w:eastAsia="ar-SA"/>
        </w:rPr>
        <w:t xml:space="preserve">. zn. </w:t>
      </w:r>
      <w:r w:rsidR="00B24A0E" w:rsidRPr="00B24A0E">
        <w:rPr>
          <w:rFonts w:ascii="Arial" w:eastAsia="Times New Roman" w:hAnsi="Arial" w:cs="Arial"/>
          <w:sz w:val="20"/>
          <w:szCs w:val="20"/>
          <w:lang w:eastAsia="ar-SA"/>
        </w:rPr>
        <w:t>B 6753</w:t>
      </w:r>
    </w:p>
    <w:p w14:paraId="60AACF40" w14:textId="77777777" w:rsidR="00273D40" w:rsidRPr="00DA4BDC" w:rsidRDefault="00273D40" w:rsidP="009537C6">
      <w:pPr>
        <w:tabs>
          <w:tab w:val="left" w:pos="1843"/>
        </w:tabs>
        <w:spacing w:after="0"/>
        <w:ind w:left="567" w:hanging="567"/>
        <w:rPr>
          <w:rFonts w:ascii="Arial" w:eastAsia="Times New Roman" w:hAnsi="Arial" w:cs="Arial"/>
          <w:sz w:val="2"/>
          <w:szCs w:val="20"/>
        </w:rPr>
      </w:pPr>
    </w:p>
    <w:p w14:paraId="13DDAD02" w14:textId="6E3CC722" w:rsidR="00273D40" w:rsidRPr="009537C6" w:rsidRDefault="00273D40" w:rsidP="009537C6">
      <w:pPr>
        <w:spacing w:before="60" w:after="120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9537C6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(dále jen jako </w:t>
      </w:r>
      <w:r w:rsidRPr="009537C6">
        <w:rPr>
          <w:rFonts w:ascii="Arial" w:eastAsia="Times New Roman" w:hAnsi="Arial" w:cs="Arial"/>
          <w:b/>
          <w:i/>
          <w:sz w:val="20"/>
          <w:szCs w:val="20"/>
          <w:lang w:eastAsia="cs-CZ"/>
        </w:rPr>
        <w:t>„Správce“</w:t>
      </w:r>
      <w:r w:rsidRPr="009537C6">
        <w:rPr>
          <w:rFonts w:ascii="Arial" w:eastAsia="Times New Roman" w:hAnsi="Arial" w:cs="Arial"/>
          <w:i/>
          <w:sz w:val="20"/>
          <w:szCs w:val="20"/>
          <w:lang w:eastAsia="cs-CZ"/>
        </w:rPr>
        <w:t>)</w:t>
      </w:r>
      <w:r w:rsidRPr="009537C6">
        <w:rPr>
          <w:rFonts w:ascii="Arial" w:eastAsia="Times New Roman" w:hAnsi="Arial" w:cs="Arial"/>
          <w:i/>
          <w:sz w:val="20"/>
          <w:szCs w:val="20"/>
          <w:lang w:eastAsia="cs-CZ"/>
        </w:rPr>
        <w:tab/>
      </w:r>
    </w:p>
    <w:p w14:paraId="3A42E8A3" w14:textId="77777777" w:rsidR="00273D40" w:rsidRPr="00273D40" w:rsidRDefault="00273D40" w:rsidP="009537C6">
      <w:pPr>
        <w:spacing w:before="120" w:after="120"/>
        <w:ind w:firstLine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73D40">
        <w:rPr>
          <w:rFonts w:ascii="Arial" w:eastAsia="Times New Roman" w:hAnsi="Arial" w:cs="Arial"/>
          <w:sz w:val="20"/>
          <w:szCs w:val="20"/>
          <w:lang w:eastAsia="cs-CZ"/>
        </w:rPr>
        <w:t>a</w:t>
      </w:r>
    </w:p>
    <w:p w14:paraId="33E396EC" w14:textId="271EEA26" w:rsidR="00273D40" w:rsidRPr="00543BF8" w:rsidRDefault="005062DC" w:rsidP="004E4208">
      <w:pPr>
        <w:numPr>
          <w:ilvl w:val="0"/>
          <w:numId w:val="7"/>
        </w:numPr>
        <w:suppressAutoHyphens/>
        <w:spacing w:before="120"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43BF8">
        <w:rPr>
          <w:highlight w:val="yellow"/>
        </w:rPr>
        <w:t>[</w:t>
      </w:r>
      <w:r>
        <w:rPr>
          <w:highlight w:val="yellow"/>
        </w:rPr>
        <w:t>BUDE DOPLNĚN NÁZEV DRUHÉ SMLUVNÍ STRANY</w:t>
      </w:r>
      <w:r w:rsidRPr="00543BF8">
        <w:rPr>
          <w:highlight w:val="yellow"/>
        </w:rPr>
        <w:t>]</w:t>
      </w:r>
    </w:p>
    <w:p w14:paraId="3D21B02E" w14:textId="71DBFCA3" w:rsidR="00273D40" w:rsidRPr="00273D40" w:rsidRDefault="00273D40" w:rsidP="00543BF8">
      <w:pPr>
        <w:spacing w:before="120" w:after="0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A4BDC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273D4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543BF8" w:rsidRPr="00543BF8">
        <w:rPr>
          <w:highlight w:val="yellow"/>
        </w:rPr>
        <w:t>[</w:t>
      </w:r>
      <w:r w:rsidR="005062DC">
        <w:rPr>
          <w:highlight w:val="yellow"/>
        </w:rPr>
        <w:t>BUDE DOPLNĚNO</w:t>
      </w:r>
      <w:r w:rsidR="00543BF8" w:rsidRPr="00543BF8">
        <w:rPr>
          <w:highlight w:val="yellow"/>
        </w:rPr>
        <w:t>]</w:t>
      </w:r>
    </w:p>
    <w:p w14:paraId="5070A363" w14:textId="20FA5E6F" w:rsidR="00273D40" w:rsidRPr="00273D40" w:rsidRDefault="00273D40" w:rsidP="00543BF8">
      <w:pPr>
        <w:spacing w:before="120" w:after="0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A4BDC">
        <w:rPr>
          <w:rFonts w:ascii="Arial" w:eastAsia="Times New Roman" w:hAnsi="Arial" w:cs="Arial"/>
          <w:sz w:val="20"/>
          <w:szCs w:val="20"/>
          <w:lang w:eastAsia="cs-CZ"/>
        </w:rPr>
        <w:t>se sídlem:</w:t>
      </w:r>
      <w:r w:rsidRPr="00273D4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543BF8" w:rsidRPr="00543BF8">
        <w:rPr>
          <w:highlight w:val="yellow"/>
        </w:rPr>
        <w:t>[</w:t>
      </w:r>
      <w:r w:rsidR="005062DC">
        <w:rPr>
          <w:highlight w:val="yellow"/>
        </w:rPr>
        <w:t>BUDE DOPLNĚNO</w:t>
      </w:r>
      <w:r w:rsidR="00543BF8" w:rsidRPr="00543BF8">
        <w:rPr>
          <w:highlight w:val="yellow"/>
        </w:rPr>
        <w:t>]</w:t>
      </w:r>
    </w:p>
    <w:p w14:paraId="0C38DC2B" w14:textId="13451F23" w:rsidR="00273D40" w:rsidRPr="00DA4BDC" w:rsidRDefault="00273D40" w:rsidP="00543BF8">
      <w:pPr>
        <w:spacing w:before="120" w:after="0"/>
        <w:ind w:left="567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DA4BDC">
        <w:rPr>
          <w:rFonts w:ascii="Arial" w:eastAsia="Times New Roman" w:hAnsi="Arial" w:cs="Arial"/>
          <w:sz w:val="20"/>
          <w:szCs w:val="20"/>
          <w:lang w:eastAsia="ar-SA"/>
        </w:rPr>
        <w:t>zapsaná v </w:t>
      </w:r>
      <w:r w:rsidRPr="00DA4BDC">
        <w:rPr>
          <w:rFonts w:ascii="Arial" w:hAnsi="Arial" w:cs="Arial"/>
          <w:sz w:val="20"/>
          <w:szCs w:val="20"/>
        </w:rPr>
        <w:t xml:space="preserve">obchodním rejstříku vedeném u </w:t>
      </w:r>
      <w:r w:rsidR="00543BF8" w:rsidRPr="00543BF8">
        <w:rPr>
          <w:highlight w:val="yellow"/>
        </w:rPr>
        <w:t>[</w:t>
      </w:r>
      <w:r w:rsidR="005062DC">
        <w:rPr>
          <w:highlight w:val="yellow"/>
        </w:rPr>
        <w:t>BUDE DOPLNĚNO</w:t>
      </w:r>
      <w:r w:rsidR="00543BF8" w:rsidRPr="00543BF8">
        <w:rPr>
          <w:highlight w:val="yellow"/>
        </w:rPr>
        <w:t>]</w:t>
      </w:r>
      <w:r w:rsidR="00557439">
        <w:t>,</w:t>
      </w:r>
      <w:r w:rsidRPr="00DA4BDC">
        <w:rPr>
          <w:rFonts w:ascii="Arial" w:hAnsi="Arial" w:cs="Arial"/>
          <w:color w:val="0070C0"/>
          <w:sz w:val="20"/>
          <w:szCs w:val="20"/>
        </w:rPr>
        <w:t xml:space="preserve"> </w:t>
      </w:r>
      <w:proofErr w:type="spellStart"/>
      <w:r w:rsidRPr="00DA4BDC">
        <w:rPr>
          <w:rFonts w:ascii="Arial" w:hAnsi="Arial" w:cs="Arial"/>
          <w:sz w:val="20"/>
          <w:szCs w:val="20"/>
        </w:rPr>
        <w:t>sp</w:t>
      </w:r>
      <w:proofErr w:type="spellEnd"/>
      <w:r w:rsidRPr="00DA4BDC">
        <w:rPr>
          <w:rFonts w:ascii="Arial" w:hAnsi="Arial" w:cs="Arial"/>
          <w:sz w:val="20"/>
          <w:szCs w:val="20"/>
        </w:rPr>
        <w:t xml:space="preserve">. zn. </w:t>
      </w:r>
      <w:r w:rsidR="00543BF8" w:rsidRPr="00543BF8">
        <w:rPr>
          <w:highlight w:val="yellow"/>
        </w:rPr>
        <w:t>[</w:t>
      </w:r>
      <w:r w:rsidR="005062DC">
        <w:rPr>
          <w:highlight w:val="yellow"/>
        </w:rPr>
        <w:t>BUDE DOPLNĚNO</w:t>
      </w:r>
      <w:r w:rsidR="00543BF8" w:rsidRPr="00543BF8">
        <w:rPr>
          <w:highlight w:val="yellow"/>
        </w:rPr>
        <w:t>]</w:t>
      </w:r>
    </w:p>
    <w:p w14:paraId="7F8B1E23" w14:textId="77777777" w:rsidR="00273D40" w:rsidRPr="00DA4BDC" w:rsidRDefault="00273D40" w:rsidP="009537C6">
      <w:pPr>
        <w:spacing w:after="0"/>
        <w:ind w:left="567"/>
        <w:rPr>
          <w:rFonts w:ascii="Arial" w:eastAsia="Times New Roman" w:hAnsi="Arial" w:cs="Arial"/>
          <w:sz w:val="2"/>
          <w:szCs w:val="20"/>
          <w:lang w:eastAsia="cs-CZ"/>
        </w:rPr>
      </w:pPr>
    </w:p>
    <w:p w14:paraId="171030E9" w14:textId="77777777" w:rsidR="00273D40" w:rsidRPr="009537C6" w:rsidRDefault="00273D40" w:rsidP="009537C6">
      <w:pPr>
        <w:spacing w:before="60" w:after="120"/>
        <w:ind w:firstLine="567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9537C6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(dále jen jako </w:t>
      </w:r>
      <w:r w:rsidRPr="009537C6">
        <w:rPr>
          <w:rFonts w:ascii="Arial" w:eastAsia="Times New Roman" w:hAnsi="Arial" w:cs="Arial"/>
          <w:b/>
          <w:i/>
          <w:sz w:val="20"/>
          <w:szCs w:val="20"/>
          <w:lang w:eastAsia="cs-CZ"/>
        </w:rPr>
        <w:t>„Zpracovatel“</w:t>
      </w:r>
      <w:r w:rsidRPr="009537C6">
        <w:rPr>
          <w:rFonts w:ascii="Arial" w:eastAsia="Times New Roman" w:hAnsi="Arial" w:cs="Arial"/>
          <w:i/>
          <w:sz w:val="20"/>
          <w:szCs w:val="20"/>
          <w:lang w:eastAsia="cs-CZ"/>
        </w:rPr>
        <w:t>)</w:t>
      </w:r>
      <w:r w:rsidRPr="009537C6">
        <w:rPr>
          <w:rFonts w:ascii="Arial" w:eastAsia="Times New Roman" w:hAnsi="Arial" w:cs="Arial"/>
          <w:i/>
          <w:sz w:val="20"/>
          <w:szCs w:val="20"/>
          <w:lang w:eastAsia="cs-CZ"/>
        </w:rPr>
        <w:tab/>
      </w:r>
      <w:r w:rsidRPr="009537C6">
        <w:rPr>
          <w:rFonts w:ascii="Arial" w:eastAsia="Times New Roman" w:hAnsi="Arial" w:cs="Arial"/>
          <w:i/>
          <w:sz w:val="20"/>
          <w:szCs w:val="20"/>
          <w:lang w:eastAsia="cs-CZ"/>
        </w:rPr>
        <w:tab/>
        <w:t xml:space="preserve">  </w:t>
      </w:r>
    </w:p>
    <w:p w14:paraId="6331086D" w14:textId="77777777" w:rsidR="00273D40" w:rsidRPr="00DA4BDC" w:rsidRDefault="00273D40" w:rsidP="00882B69">
      <w:pPr>
        <w:spacing w:before="120" w:after="120"/>
        <w:rPr>
          <w:rFonts w:ascii="Arial" w:eastAsia="Times New Roman" w:hAnsi="Arial" w:cs="Arial"/>
          <w:sz w:val="2"/>
          <w:szCs w:val="20"/>
          <w:lang w:eastAsia="cs-CZ"/>
        </w:rPr>
      </w:pPr>
    </w:p>
    <w:p w14:paraId="6B1D16C3" w14:textId="77777777" w:rsidR="00273D40" w:rsidRPr="00273D40" w:rsidRDefault="00273D40" w:rsidP="00882B69">
      <w:pPr>
        <w:spacing w:before="120" w:after="120"/>
        <w:ind w:firstLine="567"/>
        <w:rPr>
          <w:rFonts w:ascii="Arial" w:eastAsia="Times New Roman" w:hAnsi="Arial" w:cs="Arial"/>
          <w:sz w:val="20"/>
          <w:szCs w:val="20"/>
          <w:lang w:eastAsia="cs-CZ"/>
        </w:rPr>
      </w:pPr>
      <w:r w:rsidRPr="00273D40">
        <w:rPr>
          <w:rFonts w:ascii="Arial" w:eastAsia="Times New Roman" w:hAnsi="Arial" w:cs="Arial"/>
          <w:sz w:val="20"/>
          <w:szCs w:val="20"/>
          <w:lang w:eastAsia="cs-CZ"/>
        </w:rPr>
        <w:t>(Správce a Zpracovatel dále společně jen jako „</w:t>
      </w:r>
      <w:r w:rsidRPr="00273D40">
        <w:rPr>
          <w:rFonts w:ascii="Arial" w:eastAsia="Times New Roman" w:hAnsi="Arial" w:cs="Arial"/>
          <w:b/>
          <w:sz w:val="20"/>
          <w:szCs w:val="20"/>
          <w:lang w:eastAsia="cs-CZ"/>
        </w:rPr>
        <w:t>Smluvní strany</w:t>
      </w:r>
      <w:r w:rsidRPr="00273D40">
        <w:rPr>
          <w:rFonts w:ascii="Arial" w:eastAsia="Times New Roman" w:hAnsi="Arial" w:cs="Arial"/>
          <w:sz w:val="20"/>
          <w:szCs w:val="20"/>
          <w:lang w:eastAsia="cs-CZ"/>
        </w:rPr>
        <w:t>“)</w:t>
      </w:r>
    </w:p>
    <w:p w14:paraId="55FF1686" w14:textId="77777777" w:rsidR="000C2CB7" w:rsidRDefault="000C2CB7" w:rsidP="00882B69">
      <w:pPr>
        <w:spacing w:before="120" w:after="120"/>
        <w:jc w:val="center"/>
        <w:rPr>
          <w:rFonts w:ascii="Arial" w:eastAsia="Times New Roman" w:hAnsi="Arial" w:cs="Arial"/>
          <w:b/>
          <w:sz w:val="24"/>
          <w:szCs w:val="20"/>
          <w:lang w:eastAsia="cs-CZ"/>
        </w:rPr>
      </w:pPr>
    </w:p>
    <w:p w14:paraId="360FEADF" w14:textId="77777777" w:rsidR="00273D40" w:rsidRPr="00557439" w:rsidRDefault="00273D40" w:rsidP="00557439">
      <w:pPr>
        <w:suppressAutoHyphens/>
        <w:spacing w:before="120" w:after="120"/>
        <w:ind w:hanging="426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57439">
        <w:rPr>
          <w:rFonts w:ascii="Arial" w:eastAsia="Times New Roman" w:hAnsi="Arial" w:cs="Arial"/>
          <w:b/>
          <w:sz w:val="24"/>
          <w:szCs w:val="24"/>
          <w:lang w:eastAsia="ar-SA"/>
        </w:rPr>
        <w:t>Preambule</w:t>
      </w:r>
    </w:p>
    <w:p w14:paraId="1BB23ED6" w14:textId="77777777" w:rsidR="00273D40" w:rsidRPr="00273D40" w:rsidRDefault="00273D40" w:rsidP="00882B69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73D40">
        <w:rPr>
          <w:rFonts w:ascii="Arial" w:eastAsia="Times New Roman" w:hAnsi="Arial" w:cs="Arial"/>
          <w:b/>
          <w:sz w:val="20"/>
          <w:szCs w:val="20"/>
          <w:lang w:eastAsia="cs-CZ"/>
        </w:rPr>
        <w:t>Vzhledem k tomu, že:</w:t>
      </w:r>
    </w:p>
    <w:p w14:paraId="202158B5" w14:textId="33D1F1EA" w:rsidR="00273D40" w:rsidRPr="00273D40" w:rsidRDefault="00273D40" w:rsidP="00882B69">
      <w:pPr>
        <w:numPr>
          <w:ilvl w:val="0"/>
          <w:numId w:val="8"/>
        </w:numPr>
        <w:suppressAutoHyphens/>
        <w:spacing w:before="120" w:after="120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73D40">
        <w:rPr>
          <w:rFonts w:ascii="Arial" w:eastAsia="Times New Roman" w:hAnsi="Arial" w:cs="Arial"/>
          <w:sz w:val="20"/>
          <w:szCs w:val="20"/>
          <w:lang w:eastAsia="cs-CZ"/>
        </w:rPr>
        <w:t xml:space="preserve">Správce a Zpracovatel spolu uzavřeli 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dne </w:t>
      </w:r>
      <w:r w:rsidRPr="00557439">
        <w:rPr>
          <w:rFonts w:ascii="Arial" w:eastAsia="Calibri" w:hAnsi="Arial" w:cs="Arial"/>
          <w:sz w:val="20"/>
          <w:szCs w:val="20"/>
          <w:highlight w:val="yellow"/>
          <w:shd w:val="clear" w:color="auto" w:fill="FFFFFF"/>
        </w:rPr>
        <w:t xml:space="preserve">[BUDE DOPLNĚNO PŘED </w:t>
      </w:r>
      <w:r w:rsidR="00AC05E4" w:rsidRPr="00557439">
        <w:rPr>
          <w:rFonts w:ascii="Arial" w:eastAsia="Calibri" w:hAnsi="Arial" w:cs="Arial"/>
          <w:sz w:val="20"/>
          <w:szCs w:val="20"/>
          <w:highlight w:val="yellow"/>
          <w:shd w:val="clear" w:color="auto" w:fill="FFFFFF"/>
        </w:rPr>
        <w:t xml:space="preserve">PODPISEM </w:t>
      </w:r>
      <w:r w:rsidRPr="00557439">
        <w:rPr>
          <w:rFonts w:ascii="Arial" w:eastAsia="Calibri" w:hAnsi="Arial" w:cs="Arial"/>
          <w:sz w:val="20"/>
          <w:szCs w:val="20"/>
          <w:highlight w:val="yellow"/>
          <w:shd w:val="clear" w:color="auto" w:fill="FFFFFF"/>
        </w:rPr>
        <w:t>SMLOUVY]</w:t>
      </w:r>
      <w:r w:rsidR="00296F48">
        <w:rPr>
          <w:rFonts w:ascii="Arial" w:eastAsia="Calibri" w:hAnsi="Arial" w:cs="Arial"/>
          <w:color w:val="0070C0"/>
          <w:sz w:val="20"/>
          <w:szCs w:val="20"/>
          <w:shd w:val="clear" w:color="auto" w:fill="FFFFFF"/>
        </w:rPr>
        <w:t xml:space="preserve"> </w:t>
      </w:r>
      <w:r w:rsidR="00296F48" w:rsidRPr="00E16A06">
        <w:rPr>
          <w:rFonts w:ascii="Arial" w:eastAsia="Calibri" w:hAnsi="Arial" w:cs="Arial"/>
          <w:sz w:val="20"/>
          <w:szCs w:val="20"/>
          <w:shd w:val="clear" w:color="auto" w:fill="FFFFFF"/>
        </w:rPr>
        <w:t>smlouvu označenou jako</w:t>
      </w:r>
      <w:r w:rsidRPr="00E16A06">
        <w:rPr>
          <w:rFonts w:ascii="Arial" w:eastAsia="Calibri" w:hAnsi="Arial" w:cs="Arial"/>
          <w:sz w:val="20"/>
          <w:szCs w:val="20"/>
          <w:shd w:val="clear" w:color="auto" w:fill="FFFFFF"/>
        </w:rPr>
        <w:t xml:space="preserve"> </w:t>
      </w:r>
      <w:r w:rsidR="00296F48" w:rsidRPr="00E16A06">
        <w:rPr>
          <w:rFonts w:ascii="Arial" w:eastAsia="Calibri" w:hAnsi="Arial" w:cs="Arial"/>
          <w:sz w:val="20"/>
          <w:szCs w:val="20"/>
          <w:shd w:val="clear" w:color="auto" w:fill="FFFFFF"/>
        </w:rPr>
        <w:t>„</w:t>
      </w:r>
      <w:r w:rsidR="00296F48" w:rsidRPr="00E16A06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 xml:space="preserve">Smlouva o </w:t>
      </w:r>
      <w:r w:rsidR="00597086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i</w:t>
      </w:r>
      <w:r w:rsidR="00597086" w:rsidRPr="00597086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 xml:space="preserve">mplementaci </w:t>
      </w:r>
      <w:r w:rsidR="00EB3BC8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SW</w:t>
      </w:r>
      <w:r w:rsidR="00597086" w:rsidRPr="00597086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 xml:space="preserve"> řešení do zařízení pro odbavení a přepravní kontrolu </w:t>
      </w:r>
      <w:r w:rsidR="00597086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v</w:t>
      </w:r>
      <w:r w:rsidR="00597086" w:rsidRPr="00597086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 xml:space="preserve"> IDS JMK a o poskytování souvisejících služeb</w:t>
      </w:r>
      <w:r w:rsidR="00597086" w:rsidRPr="00597086" w:rsidDel="00597086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="00296F48" w:rsidRPr="00E16A06">
        <w:rPr>
          <w:rFonts w:ascii="Arial" w:eastAsia="Calibri" w:hAnsi="Arial" w:cs="Arial"/>
          <w:sz w:val="20"/>
          <w:szCs w:val="20"/>
          <w:shd w:val="clear" w:color="auto" w:fill="FFFFFF"/>
        </w:rPr>
        <w:t xml:space="preserve">“ </w:t>
      </w:r>
      <w:r w:rsidRPr="00E16A06">
        <w:rPr>
          <w:rFonts w:ascii="Arial" w:eastAsia="Calibri" w:hAnsi="Arial" w:cs="Arial"/>
          <w:sz w:val="20"/>
          <w:szCs w:val="20"/>
          <w:shd w:val="clear" w:color="auto" w:fill="FFFFFF"/>
        </w:rPr>
        <w:t>(dále jen „</w:t>
      </w:r>
      <w:r w:rsidRPr="00E16A06">
        <w:rPr>
          <w:rFonts w:ascii="Arial" w:eastAsia="Calibri" w:hAnsi="Arial" w:cs="Arial"/>
          <w:b/>
          <w:bCs/>
          <w:sz w:val="20"/>
          <w:szCs w:val="20"/>
          <w:shd w:val="clear" w:color="auto" w:fill="FFFFFF"/>
        </w:rPr>
        <w:t>Hlavní smlouva</w:t>
      </w:r>
      <w:r w:rsidRPr="00E16A06">
        <w:rPr>
          <w:rFonts w:ascii="Arial" w:eastAsia="Calibri" w:hAnsi="Arial" w:cs="Arial"/>
          <w:sz w:val="20"/>
          <w:szCs w:val="20"/>
          <w:shd w:val="clear" w:color="auto" w:fill="FFFFFF"/>
        </w:rPr>
        <w:t>“).</w:t>
      </w:r>
    </w:p>
    <w:p w14:paraId="6A67D831" w14:textId="65187A72" w:rsidR="00273D40" w:rsidRPr="00543BF8" w:rsidRDefault="00273D40" w:rsidP="00543BF8">
      <w:pPr>
        <w:numPr>
          <w:ilvl w:val="0"/>
          <w:numId w:val="8"/>
        </w:numPr>
        <w:suppressAutoHyphens/>
        <w:spacing w:before="120" w:after="120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73D40">
        <w:rPr>
          <w:rFonts w:ascii="Arial" w:eastAsia="Times New Roman" w:hAnsi="Arial" w:cs="Arial"/>
          <w:sz w:val="20"/>
          <w:szCs w:val="20"/>
          <w:lang w:eastAsia="cs-CZ"/>
        </w:rPr>
        <w:t>Zpracovatel se v Hlavní smlouvě</w:t>
      </w:r>
      <w:r w:rsidRPr="00273D40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273D40">
        <w:rPr>
          <w:rFonts w:ascii="Arial" w:eastAsia="Times New Roman" w:hAnsi="Arial" w:cs="Arial"/>
          <w:sz w:val="20"/>
          <w:szCs w:val="20"/>
          <w:lang w:eastAsia="cs-CZ"/>
        </w:rPr>
        <w:t xml:space="preserve">zavázal, že poskytne Správci dostatečné záruky </w:t>
      </w:r>
      <w:r w:rsidR="00543BF8">
        <w:rPr>
          <w:rFonts w:ascii="Arial" w:eastAsia="Times New Roman" w:hAnsi="Arial" w:cs="Arial"/>
          <w:sz w:val="20"/>
          <w:szCs w:val="20"/>
          <w:lang w:eastAsia="cs-CZ"/>
        </w:rPr>
        <w:t xml:space="preserve">zavedení vhodných </w:t>
      </w:r>
      <w:r w:rsidR="00D16B54">
        <w:rPr>
          <w:rFonts w:ascii="Arial" w:eastAsia="Times New Roman" w:hAnsi="Arial" w:cs="Arial"/>
          <w:sz w:val="20"/>
          <w:szCs w:val="20"/>
          <w:lang w:eastAsia="cs-CZ"/>
        </w:rPr>
        <w:t>technických</w:t>
      </w:r>
      <w:r w:rsidR="00543BF8">
        <w:rPr>
          <w:rFonts w:ascii="Arial" w:eastAsia="Times New Roman" w:hAnsi="Arial" w:cs="Arial"/>
          <w:sz w:val="20"/>
          <w:szCs w:val="20"/>
          <w:lang w:eastAsia="cs-CZ"/>
        </w:rPr>
        <w:t xml:space="preserve"> a organizačních opatřen</w:t>
      </w:r>
      <w:r w:rsidR="0035193A">
        <w:rPr>
          <w:rFonts w:ascii="Arial" w:eastAsia="Times New Roman" w:hAnsi="Arial" w:cs="Arial"/>
          <w:sz w:val="20"/>
          <w:szCs w:val="20"/>
          <w:lang w:eastAsia="cs-CZ"/>
        </w:rPr>
        <w:t>í</w:t>
      </w:r>
      <w:r w:rsidR="00557439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35193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73D40">
        <w:rPr>
          <w:rFonts w:ascii="Arial" w:eastAsia="Times New Roman" w:hAnsi="Arial" w:cs="Arial"/>
          <w:sz w:val="20"/>
          <w:szCs w:val="20"/>
          <w:lang w:eastAsia="cs-CZ"/>
        </w:rPr>
        <w:t>a to tak, aby zpracování osobních údajů</w:t>
      </w:r>
      <w:r w:rsidR="000C2CB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273D40">
        <w:rPr>
          <w:rFonts w:ascii="Arial" w:eastAsia="Times New Roman" w:hAnsi="Arial" w:cs="Arial"/>
          <w:sz w:val="20"/>
          <w:szCs w:val="20"/>
          <w:lang w:eastAsia="cs-CZ"/>
        </w:rPr>
        <w:t>ke kterému bude docházet</w:t>
      </w:r>
      <w:r w:rsidR="0035193A">
        <w:rPr>
          <w:rFonts w:ascii="Arial" w:eastAsia="Times New Roman" w:hAnsi="Arial" w:cs="Arial"/>
          <w:sz w:val="20"/>
          <w:szCs w:val="20"/>
          <w:lang w:eastAsia="cs-CZ"/>
        </w:rPr>
        <w:t xml:space="preserve"> při plnění Hlavní smlouvy</w:t>
      </w:r>
      <w:r w:rsidR="000C2CB7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273D40">
        <w:rPr>
          <w:rFonts w:ascii="Arial" w:eastAsia="Times New Roman" w:hAnsi="Arial" w:cs="Arial"/>
          <w:sz w:val="20"/>
          <w:szCs w:val="20"/>
          <w:lang w:eastAsia="cs-CZ"/>
        </w:rPr>
        <w:t xml:space="preserve"> splňovalo požadavky zákona č. 110/2019 Sb., o zpracování osobních údajů, v platném znění (dále jen “</w:t>
      </w:r>
      <w:r w:rsidRPr="00273D40">
        <w:rPr>
          <w:rFonts w:ascii="Arial" w:eastAsia="Times New Roman" w:hAnsi="Arial" w:cs="Arial"/>
          <w:b/>
          <w:sz w:val="20"/>
          <w:szCs w:val="20"/>
          <w:lang w:eastAsia="cs-CZ"/>
        </w:rPr>
        <w:t>ZZOÚ</w:t>
      </w:r>
      <w:r w:rsidRPr="00273D40">
        <w:rPr>
          <w:rFonts w:ascii="Arial" w:eastAsia="Times New Roman" w:hAnsi="Arial" w:cs="Arial"/>
          <w:sz w:val="20"/>
          <w:szCs w:val="20"/>
          <w:lang w:eastAsia="cs-CZ"/>
        </w:rPr>
        <w:t xml:space="preserve">“) a obecného nařízení Evropského parlamentu a rady (EU) 2016/679, o ochraně fyzických osob v souvislosti se </w:t>
      </w:r>
      <w:r w:rsidRPr="00543BF8">
        <w:rPr>
          <w:rFonts w:ascii="Arial" w:eastAsia="Times New Roman" w:hAnsi="Arial" w:cs="Arial"/>
          <w:sz w:val="20"/>
          <w:szCs w:val="20"/>
          <w:lang w:eastAsia="cs-CZ"/>
        </w:rPr>
        <w:t>zpracováním osobních údajů a o volném pohybu těchto údajů a o zrušení směrnice 95/46/ES  (dále jen „</w:t>
      </w:r>
      <w:r w:rsidR="009E0983">
        <w:rPr>
          <w:rFonts w:ascii="Arial" w:eastAsia="Times New Roman" w:hAnsi="Arial" w:cs="Arial"/>
          <w:b/>
          <w:sz w:val="20"/>
          <w:szCs w:val="20"/>
          <w:lang w:eastAsia="cs-CZ"/>
        </w:rPr>
        <w:t>GDPR</w:t>
      </w:r>
      <w:r w:rsidRPr="00543BF8">
        <w:rPr>
          <w:rFonts w:ascii="Arial" w:eastAsia="Times New Roman" w:hAnsi="Arial" w:cs="Arial"/>
          <w:sz w:val="20"/>
          <w:szCs w:val="20"/>
          <w:lang w:eastAsia="cs-CZ"/>
        </w:rPr>
        <w:t xml:space="preserve">“), </w:t>
      </w:r>
    </w:p>
    <w:p w14:paraId="2CDDADD6" w14:textId="77777777" w:rsidR="00273D40" w:rsidRPr="00273D40" w:rsidRDefault="00273D40" w:rsidP="00882B69">
      <w:pPr>
        <w:suppressAutoHyphens/>
        <w:spacing w:before="120" w:after="12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b/>
          <w:sz w:val="20"/>
          <w:szCs w:val="20"/>
          <w:lang w:eastAsia="ar-SA"/>
        </w:rPr>
        <w:t>dohodly se Smluvní strany na následujícím:</w:t>
      </w:r>
    </w:p>
    <w:p w14:paraId="1ADFFC85" w14:textId="77777777" w:rsidR="00273D40" w:rsidRPr="00091D74" w:rsidRDefault="00273D40" w:rsidP="00091D74">
      <w:pPr>
        <w:pStyle w:val="Odstavecseseznamem"/>
        <w:numPr>
          <w:ilvl w:val="0"/>
          <w:numId w:val="19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>Úvodní ustanovení</w:t>
      </w:r>
    </w:p>
    <w:p w14:paraId="1DE73729" w14:textId="77777777" w:rsidR="00E61E11" w:rsidRPr="00E61E11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425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sz w:val="20"/>
          <w:szCs w:val="20"/>
          <w:lang w:eastAsia="ar-SA"/>
        </w:rPr>
        <w:t>Není-li v této Smlouvě o zpracování stanoveno jinak, mají pojmy zde užité stejný význam, jaký je jim přikládán v Hlavní Smlouvě.</w:t>
      </w:r>
    </w:p>
    <w:p w14:paraId="4A3BE640" w14:textId="0AE75407" w:rsidR="00273D40" w:rsidRPr="00E61E11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425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sz w:val="20"/>
          <w:szCs w:val="20"/>
          <w:lang w:eastAsia="ar-SA"/>
        </w:rPr>
        <w:t xml:space="preserve">Tato Smlouva o zpracování se uzavírá za účelem zpracování a zajištění ochrany osobních údajů zpracovávaných </w:t>
      </w:r>
      <w:r w:rsidRPr="00E61E11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Zpracovatelem 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>v rámci poskytování plnění spočívajícího</w:t>
      </w:r>
      <w:r w:rsidR="0035193A">
        <w:rPr>
          <w:rFonts w:ascii="Arial" w:eastAsia="Times New Roman" w:hAnsi="Arial" w:cs="Arial"/>
          <w:sz w:val="20"/>
          <w:szCs w:val="20"/>
          <w:lang w:eastAsia="ar-SA"/>
        </w:rPr>
        <w:t xml:space="preserve"> v</w:t>
      </w:r>
      <w:r w:rsidR="005043F9">
        <w:rPr>
          <w:rFonts w:ascii="Arial" w:eastAsia="Times New Roman" w:hAnsi="Arial" w:cs="Arial"/>
          <w:sz w:val="20"/>
          <w:szCs w:val="20"/>
          <w:lang w:eastAsia="ar-SA"/>
        </w:rPr>
        <w:t> Implementaci a</w:t>
      </w:r>
      <w:r w:rsidR="0035193A">
        <w:rPr>
          <w:rFonts w:ascii="Arial" w:eastAsia="Times New Roman" w:hAnsi="Arial" w:cs="Arial"/>
          <w:sz w:val="20"/>
          <w:szCs w:val="20"/>
          <w:lang w:eastAsia="ar-SA"/>
        </w:rPr>
        <w:t> poskytování Služeb na základě Hlavní smlouvy</w:t>
      </w:r>
      <w:r w:rsidR="0035193A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E61E11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(dále souhrnně jen „</w:t>
      </w:r>
      <w:r w:rsidRPr="00E61E11">
        <w:rPr>
          <w:rFonts w:ascii="Arial" w:eastAsia="Calibri" w:hAnsi="Arial" w:cs="Arial"/>
          <w:b/>
          <w:color w:val="000000"/>
          <w:sz w:val="20"/>
          <w:szCs w:val="20"/>
          <w:shd w:val="clear" w:color="auto" w:fill="FFFFFF"/>
        </w:rPr>
        <w:t>Služba</w:t>
      </w:r>
      <w:r w:rsidRPr="00E61E11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“)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660BE1E9" w14:textId="49F2C80C" w:rsidR="00273D40" w:rsidRPr="00273D40" w:rsidRDefault="00273D40" w:rsidP="00557439">
      <w:pPr>
        <w:suppressAutoHyphens/>
        <w:spacing w:before="120" w:after="120"/>
        <w:ind w:hanging="42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0E687A0" w14:textId="01F141FE" w:rsidR="00E61E11" w:rsidRPr="00091D74" w:rsidRDefault="00091D74" w:rsidP="00091D74">
      <w:pPr>
        <w:pStyle w:val="Odstavecseseznamem"/>
        <w:numPr>
          <w:ilvl w:val="0"/>
          <w:numId w:val="19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lastRenderedPageBreak/>
        <w:t>Pověření a rozsah zpracovávaných údajů</w:t>
      </w:r>
    </w:p>
    <w:p w14:paraId="56EDF91D" w14:textId="77777777" w:rsidR="00E61E11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289" w:hanging="431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sz w:val="20"/>
          <w:szCs w:val="20"/>
          <w:u w:val="single"/>
          <w:lang w:eastAsia="ar-SA"/>
        </w:rPr>
        <w:t>Pověření Zpracovatele.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 Správce tímto pověřuje Zpracovatele ve smyslu čl. 28 GDPR zpracováním Osobních údajů v rozsahu a za podmínek stanovených níže v této Smlouvě o zpracování, k nimž získá Zpracovatel přístup při poskytování Služby a Zpracovatel tento svůj závazek přijímá a zavazuje se jej řádně plnit. Zpracovatel je povinen zpracovávat Osobní údaje v souladu se Smlouvou o zpracování, Hlavní smlouvou a právními předpisy, zejména – v souladu se ZZOÚ a s GDPR. </w:t>
      </w:r>
    </w:p>
    <w:p w14:paraId="027AAE46" w14:textId="43B2D348" w:rsidR="00E61E11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289" w:hanging="431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sz w:val="20"/>
          <w:szCs w:val="20"/>
          <w:u w:val="single"/>
          <w:lang w:eastAsia="ar-SA"/>
        </w:rPr>
        <w:t>Předmět zpracování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 xml:space="preserve">. Zpracovatel se v rámci svého pověření ke zpracování Osobních údajů pro Správce zavazuje zpracovávat pouze takové </w:t>
      </w:r>
      <w:r w:rsidR="00557439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 xml:space="preserve">sobní údaje, které souvisí s předmětem Hlavní smlouvy. Zpracovatel bude dle této Smlouvy o zpracování zpracovávat osobní údaje </w:t>
      </w:r>
      <w:r w:rsidR="000777BF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 xml:space="preserve">ubjektů údajů </w:t>
      </w:r>
      <w:r w:rsidR="000777BF">
        <w:rPr>
          <w:rFonts w:ascii="Arial" w:eastAsia="Times New Roman" w:hAnsi="Arial" w:cs="Arial"/>
          <w:sz w:val="20"/>
          <w:szCs w:val="20"/>
          <w:lang w:eastAsia="ar-SA"/>
        </w:rPr>
        <w:t>vymezených v Příloze č. 1 (dále jen „</w:t>
      </w:r>
      <w:r w:rsidR="000777BF" w:rsidRPr="00E16A0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Subjekty údajů</w:t>
      </w:r>
      <w:r w:rsidR="000777BF">
        <w:rPr>
          <w:rFonts w:ascii="Arial" w:eastAsia="Times New Roman" w:hAnsi="Arial" w:cs="Arial"/>
          <w:sz w:val="20"/>
          <w:szCs w:val="20"/>
          <w:lang w:eastAsia="ar-SA"/>
        </w:rPr>
        <w:t xml:space="preserve">“), a to 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>v rozsahu stanoveném v Příloze č. 1 (dále jen „</w:t>
      </w:r>
      <w:r w:rsidRPr="00E16A0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Osobní údaje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>").</w:t>
      </w:r>
    </w:p>
    <w:p w14:paraId="377C53A6" w14:textId="7BB702E1" w:rsidR="00E61E11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289" w:hanging="431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sz w:val="20"/>
          <w:szCs w:val="20"/>
          <w:u w:val="single"/>
          <w:lang w:eastAsia="ar-SA"/>
        </w:rPr>
        <w:t>Povaha a účel zpracování.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 xml:space="preserve"> Zpracovatel se zavazuje zpracovávat Osobní údaje Subjektů údajů výlučně pro účely vymezené v této Smlouvě o zpracování. Účelem zpracování osobních údajů v rámci komplexního zajištění Zpracovatelem poskytovaných </w:t>
      </w:r>
      <w:r w:rsidR="009224C8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>lužeb je konkrétně:</w:t>
      </w:r>
    </w:p>
    <w:p w14:paraId="07EA3CDA" w14:textId="71462B2E" w:rsidR="0035193A" w:rsidRDefault="008609F6" w:rsidP="00E16A06">
      <w:pPr>
        <w:pStyle w:val="Odstavecseseznamem"/>
        <w:numPr>
          <w:ilvl w:val="0"/>
          <w:numId w:val="20"/>
        </w:numPr>
        <w:suppressAutoHyphens/>
        <w:spacing w:before="120" w:after="12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[</w:t>
      </w:r>
      <w:r w:rsidRPr="00557439">
        <w:rPr>
          <w:rFonts w:ascii="Arial" w:eastAsia="Times New Roman" w:hAnsi="Arial" w:cs="Arial"/>
          <w:sz w:val="20"/>
          <w:szCs w:val="20"/>
          <w:highlight w:val="yellow"/>
          <w:lang w:eastAsia="ar-SA"/>
        </w:rPr>
        <w:t>BUDE DOPLNĚNO PŘED PODPISEM SMLOUVY</w:t>
      </w:r>
      <w:r>
        <w:rPr>
          <w:rFonts w:ascii="Arial" w:eastAsia="Times New Roman" w:hAnsi="Arial" w:cs="Arial"/>
          <w:sz w:val="20"/>
          <w:szCs w:val="20"/>
          <w:lang w:eastAsia="ar-SA"/>
        </w:rPr>
        <w:t>]</w:t>
      </w:r>
    </w:p>
    <w:p w14:paraId="37A1E531" w14:textId="2FA93479" w:rsidR="00273D40" w:rsidRPr="00E61E11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289" w:hanging="431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sz w:val="20"/>
          <w:szCs w:val="20"/>
          <w:u w:val="single"/>
          <w:lang w:eastAsia="ar-SA"/>
        </w:rPr>
        <w:t>Pokyny Správce</w:t>
      </w:r>
      <w:r w:rsidRPr="00E16A06">
        <w:rPr>
          <w:rFonts w:ascii="Arial" w:eastAsia="Times New Roman" w:hAnsi="Arial" w:cs="Arial"/>
          <w:sz w:val="20"/>
          <w:szCs w:val="20"/>
          <w:lang w:eastAsia="ar-SA"/>
        </w:rPr>
        <w:t>. Zpracovatel se zavazuje, že bude zpracovávat Osobní údaje pouze na základě Správcem doložených pokynů. To platí obdobně pro statutární orgán a zaměstnance Zpracovatele, kteří mají při výkonu své pracovní činnosti ke zpracovávaným Osobním údajům přístup. Pokyny se Správce zavazuje poskytovat Zpracovateli elektronicky na e-mailovou adresu</w:t>
      </w:r>
      <w:r w:rsidR="0035193A" w:rsidRPr="00E16A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9E0983" w:rsidRPr="00E16A06">
        <w:rPr>
          <w:rFonts w:ascii="Arial" w:eastAsia="Times New Roman" w:hAnsi="Arial" w:cs="Arial"/>
          <w:sz w:val="20"/>
          <w:szCs w:val="20"/>
          <w:lang w:eastAsia="ar-SA"/>
        </w:rPr>
        <w:t xml:space="preserve">Zmocněnců </w:t>
      </w:r>
      <w:r w:rsidR="0035193A" w:rsidRPr="00E16A06">
        <w:rPr>
          <w:rFonts w:ascii="Arial" w:eastAsia="Times New Roman" w:hAnsi="Arial" w:cs="Arial"/>
          <w:sz w:val="20"/>
          <w:szCs w:val="20"/>
          <w:lang w:eastAsia="ar-SA"/>
        </w:rPr>
        <w:t>dle Hlavní smlouvy</w:t>
      </w:r>
      <w:r w:rsidR="009E0983" w:rsidRPr="00E16A06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E16A06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</w:p>
    <w:p w14:paraId="58E26A22" w14:textId="77777777" w:rsidR="00273D40" w:rsidRPr="00273D40" w:rsidRDefault="00273D40" w:rsidP="00E61E11">
      <w:pPr>
        <w:suppressAutoHyphens/>
        <w:spacing w:before="120" w:after="120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Zpracovatel je povinen upozornit Správce bez zbytečného odkladu na nevhodnou povahu pokynu, který mu Správce ke zpracování Osobních údajů předal; to neplatí, nemohl-li Zpracovatel nevhodnost zjistit ani při vynaložení potřebné péče. Zpracovatel je v takovém případě povinen provést pokyny pouze na základě písemného požadavku Správce.  </w:t>
      </w:r>
    </w:p>
    <w:p w14:paraId="010E7252" w14:textId="431D4920" w:rsidR="00E61E11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289" w:hanging="431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sz w:val="20"/>
          <w:szCs w:val="20"/>
          <w:u w:val="single"/>
          <w:lang w:eastAsia="ar-SA"/>
        </w:rPr>
        <w:t>Místo zpracování.</w:t>
      </w:r>
      <w:r w:rsidRPr="00E61E11">
        <w:rPr>
          <w:rFonts w:ascii="Arial" w:eastAsia="Times New Roman" w:hAnsi="Arial" w:cs="Arial"/>
          <w:sz w:val="20"/>
          <w:szCs w:val="20"/>
          <w:lang w:eastAsia="ar-SA"/>
        </w:rPr>
        <w:t xml:space="preserve"> Osobní údaje je možné zpracovávat pouze na území Evropské unie. </w:t>
      </w:r>
    </w:p>
    <w:p w14:paraId="224470B5" w14:textId="77777777" w:rsidR="00273D40" w:rsidRPr="00091D74" w:rsidRDefault="00273D40" w:rsidP="00E61E11">
      <w:pPr>
        <w:pStyle w:val="Odstavecseseznamem"/>
        <w:numPr>
          <w:ilvl w:val="1"/>
          <w:numId w:val="19"/>
        </w:numPr>
        <w:suppressAutoHyphens/>
        <w:spacing w:before="120" w:after="120"/>
        <w:ind w:left="289" w:hanging="431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1E11">
        <w:rPr>
          <w:rFonts w:ascii="Arial" w:eastAsia="Times New Roman" w:hAnsi="Arial" w:cs="Arial"/>
          <w:bCs/>
          <w:iCs/>
          <w:sz w:val="20"/>
          <w:szCs w:val="20"/>
          <w:u w:val="single"/>
        </w:rPr>
        <w:t>Informování o provádění kontroly dohledovým orgánem.</w:t>
      </w:r>
      <w:r w:rsidRPr="00E61E11">
        <w:rPr>
          <w:rFonts w:ascii="Arial" w:eastAsia="Times New Roman" w:hAnsi="Arial" w:cs="Arial"/>
          <w:bCs/>
          <w:iCs/>
          <w:sz w:val="20"/>
          <w:szCs w:val="20"/>
        </w:rPr>
        <w:t xml:space="preserve"> Zpracovatel je povinen Správci neprodleně oznámit provedení kontroly ze strany Úřadu pro ochranu osobních údajů (dále jen „</w:t>
      </w:r>
      <w:r w:rsidRPr="00557439">
        <w:rPr>
          <w:rFonts w:ascii="Arial" w:eastAsia="Times New Roman" w:hAnsi="Arial" w:cs="Arial"/>
          <w:b/>
          <w:iCs/>
          <w:sz w:val="20"/>
          <w:szCs w:val="20"/>
        </w:rPr>
        <w:t>ÚOOÚ</w:t>
      </w:r>
      <w:r w:rsidRPr="00E61E11">
        <w:rPr>
          <w:rFonts w:ascii="Arial" w:eastAsia="Times New Roman" w:hAnsi="Arial" w:cs="Arial"/>
          <w:bCs/>
          <w:iCs/>
          <w:sz w:val="20"/>
          <w:szCs w:val="20"/>
        </w:rPr>
        <w:t>“) a poskytnout Správci na jeho žádost podrobné informace o průběhu kontroly a kopii kontrolního protokolu. V případě zahájení správního řízení o uložení opatření k nápravě a/nebo uložení pokuty („</w:t>
      </w:r>
      <w:r w:rsidRPr="00E61E11">
        <w:rPr>
          <w:rFonts w:ascii="Arial" w:eastAsia="Times New Roman" w:hAnsi="Arial" w:cs="Arial"/>
          <w:b/>
          <w:bCs/>
          <w:iCs/>
          <w:sz w:val="20"/>
          <w:szCs w:val="20"/>
        </w:rPr>
        <w:t>Správní řízení</w:t>
      </w:r>
      <w:r w:rsidRPr="00E61E11">
        <w:rPr>
          <w:rFonts w:ascii="Arial" w:eastAsia="Times New Roman" w:hAnsi="Arial" w:cs="Arial"/>
          <w:bCs/>
          <w:iCs/>
          <w:sz w:val="20"/>
          <w:szCs w:val="20"/>
        </w:rPr>
        <w:t>“) je Zpracovatel rovněž povinen tuto skutečnost neprodleně oznámit Správci a poskytnout Správci na jeho žádost podrobné informace o průběhu a výsledcích Správního řízení, popř. Správci poskytnout plnou moc k nahlížení do spisu týkajícího se Správního řízení. Zpracovatel je povinen plnit povinnosti kontrolovaného dle zákona č. 255/2012 Sb., o kontrole (kontrolní řád), v platném znění, a zavazuje se poskytnout Správci kopii zprávy o odstranění nebo prevenci nedostatků zjištěných kontrolou, pokud je tato zpráva na vyžádání kontrolujícího vypracována.</w:t>
      </w:r>
    </w:p>
    <w:p w14:paraId="1EC6468D" w14:textId="77777777" w:rsidR="00091D74" w:rsidRPr="00E61E11" w:rsidRDefault="00091D74" w:rsidP="00091D74">
      <w:pPr>
        <w:pStyle w:val="Odstavecseseznamem"/>
        <w:suppressAutoHyphens/>
        <w:spacing w:before="120" w:after="120"/>
        <w:ind w:left="289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8515A9" w14:textId="4EB2BA0B" w:rsidR="00B83E24" w:rsidRPr="00091D74" w:rsidRDefault="00273D40" w:rsidP="00091D74">
      <w:pPr>
        <w:pStyle w:val="Odstavecseseznamem"/>
        <w:numPr>
          <w:ilvl w:val="0"/>
          <w:numId w:val="19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vanish/>
          <w:sz w:val="20"/>
          <w:szCs w:val="20"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>Poddodavatelé Zpracovatele</w:t>
      </w:r>
    </w:p>
    <w:p w14:paraId="5FD0A5B1" w14:textId="77777777" w:rsidR="008B0ECA" w:rsidRDefault="008B0ECA" w:rsidP="00B83E24">
      <w:pPr>
        <w:pStyle w:val="Odstavecseseznamem"/>
        <w:numPr>
          <w:ilvl w:val="1"/>
          <w:numId w:val="19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9CE7DB" w14:textId="1D9B09B8" w:rsid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84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3E24">
        <w:rPr>
          <w:rFonts w:ascii="Arial" w:eastAsia="Times New Roman" w:hAnsi="Arial" w:cs="Arial"/>
          <w:sz w:val="20"/>
          <w:szCs w:val="20"/>
          <w:lang w:eastAsia="ar-SA"/>
        </w:rPr>
        <w:t xml:space="preserve">Zpracovatel bere na vědomí, že dílčí poddodavatelé mohou být pověřeni zpracováním Osobních údajů pouze na základě předchozího písemného souhlasu Správce. </w:t>
      </w:r>
    </w:p>
    <w:p w14:paraId="5A77B93D" w14:textId="77777777" w:rsid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3E24">
        <w:rPr>
          <w:rFonts w:ascii="Arial" w:eastAsia="Times New Roman" w:hAnsi="Arial" w:cs="Arial"/>
          <w:sz w:val="20"/>
          <w:szCs w:val="20"/>
          <w:lang w:eastAsia="ar-SA"/>
        </w:rPr>
        <w:t xml:space="preserve">V případě, že Správce vysloví souhlas s pověřením zpracováním Osobních údajů dílčího poddodavatele, je Zpracovatel povinen uložit tomuto dílčímu poddodavateli v postavení zpracovatele osobních údajů stejné povinnosti na ochranu Osobních údajů, jak jsou stanoveny v této Smlouvě o zpracování, uzavřené mezi Správcem a Zpracovatelem, a to zejména poskytnutí dostatečných záruk, pokud jde o zavedení vhodných technických a organizačních opatření tak, aby zpracování Osobních údajů splňovalo požadavky ZZOÚ a GDPR. </w:t>
      </w:r>
    </w:p>
    <w:p w14:paraId="3E0A3C97" w14:textId="77777777" w:rsid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3E24">
        <w:rPr>
          <w:rFonts w:ascii="Arial" w:eastAsia="Times New Roman" w:hAnsi="Arial" w:cs="Arial"/>
          <w:sz w:val="20"/>
          <w:szCs w:val="20"/>
          <w:lang w:eastAsia="ar-SA"/>
        </w:rPr>
        <w:t xml:space="preserve">Zpracovatel bere na vědomí, že nebude-li dílčí poddodavatel plnit své povinnosti v oblasti ochrany Osobních údajů, odpovídá Správci za plnění povinností dílčího poddodavatele, coby dalšího zpracovatele, i nadále plně Zpracovatel. </w:t>
      </w:r>
    </w:p>
    <w:p w14:paraId="13C62D32" w14:textId="77777777" w:rsidR="00091D74" w:rsidRPr="00B83E24" w:rsidRDefault="00091D74" w:rsidP="00091D74">
      <w:pPr>
        <w:pStyle w:val="Odstavecseseznamem"/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289E1" w14:textId="77777777" w:rsidR="00273D40" w:rsidRPr="00091D74" w:rsidRDefault="00273D40" w:rsidP="006E0151">
      <w:pPr>
        <w:pStyle w:val="Odstavecseseznamem"/>
        <w:numPr>
          <w:ilvl w:val="0"/>
          <w:numId w:val="22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>Technická a organizační zabezpečení ochrany osobních údajů</w:t>
      </w:r>
    </w:p>
    <w:p w14:paraId="1198A0EF" w14:textId="77777777" w:rsid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Zpracovatel se zavazuje, že technicky a organizačně zabezpečí zpracování Osobních údajů tak, aby nemohlo dojít k neoprávněnému nebo nahodilému přístupu k údajům, k jejich změně, zničení či ztrátě, neoprávněným 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přenosům, k jejich jinému neoprávněnému zpracování, jakož i k jinému zneužití a zajistí, aby byly nepřetržitě po celou dobu zpracování Osobních údajů personálně a organizačně zajištěny veškeré povinnosti Zpracovatele osobních údajů vyplývající z GDPR, ZZOÚ a ISO norem, pokud tyto na zpracování Osobních údajů dopadají. </w:t>
      </w:r>
    </w:p>
    <w:p w14:paraId="2762A008" w14:textId="77777777" w:rsid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3E24">
        <w:rPr>
          <w:rFonts w:ascii="Arial" w:eastAsia="Times New Roman" w:hAnsi="Arial" w:cs="Arial"/>
          <w:sz w:val="20"/>
          <w:szCs w:val="20"/>
          <w:lang w:eastAsia="ar-SA"/>
        </w:rPr>
        <w:t>Zpracovatel tímto prohlašuje, že ochrana Osobních údajů podléhá interním bezpečnostním předpisům Zpracovatele v rámci jeho systému řízení bezpečnosti informací.</w:t>
      </w:r>
    </w:p>
    <w:p w14:paraId="0DA21705" w14:textId="77777777" w:rsidR="00273D40" w:rsidRP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3E24">
        <w:rPr>
          <w:rFonts w:ascii="Arial" w:eastAsia="Times New Roman" w:hAnsi="Arial" w:cs="Arial"/>
          <w:sz w:val="20"/>
          <w:szCs w:val="20"/>
          <w:lang w:eastAsia="ar-SA"/>
        </w:rPr>
        <w:t xml:space="preserve">Zpracovatel se zavazuje, že zpracování Osobních údajů bude zabezpečeno zejména následujícími způsoby: </w:t>
      </w:r>
    </w:p>
    <w:p w14:paraId="1E59D291" w14:textId="77777777" w:rsidR="00273D40" w:rsidRPr="00273D40" w:rsidRDefault="00273D40" w:rsidP="00882B69">
      <w:pPr>
        <w:numPr>
          <w:ilvl w:val="0"/>
          <w:numId w:val="9"/>
        </w:num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k Osobním údajům budou mít přístup pouze oprávněné osoby Zpracovatele, které budou mít Zpracovatelem stanoveny podmínky a rozsah zpracování údajů a každá taková osoba bude přistupovat k osobním údajům pod svým jednoznačným identifikátorem;</w:t>
      </w:r>
    </w:p>
    <w:p w14:paraId="76EFBD8B" w14:textId="37AF9A3C" w:rsidR="00273D40" w:rsidRPr="00273D40" w:rsidRDefault="00273D40" w:rsidP="00882B69">
      <w:pPr>
        <w:numPr>
          <w:ilvl w:val="0"/>
          <w:numId w:val="9"/>
        </w:num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oprávněné osoby Zpracovatele, které zpracovávají Osobní údaje podle této Smlouvy o zpracování, jsou povinny zachovávat mlčenlivost o Osobních údajích a o opatřeních k zabezpečení Osobních údajů. Zpracovatel zajistí prokazatelné zavázání se osob, které ze strany Zpracovatele nakládají s Osobními údaji k této povinnosti. Zpracovatel zajistí to, že povinnost mlčenlivosti dle předchozí věty pro Zpracovatele i osoby, které ze strany Zpracovatele nakládají s Osobními údaji bude trvat i po skončení výkonu práce pro Zpracovatele. V případě porušení této povinnosti se Zpracovatel zavazuje nahradit Správci veškerou způsobenou škodu;</w:t>
      </w:r>
    </w:p>
    <w:p w14:paraId="66477887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 xml:space="preserve">bude používat odpovídající technické zařízení a programové vybavení způsobem, který vyloučí neoprávněný či nahodilý přístup k Osobním údajům ze strany jiných osob než pověřených zaměstnanců Zpracovatele; </w:t>
      </w:r>
    </w:p>
    <w:p w14:paraId="7A5B9AB3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 xml:space="preserve">Osobní údaje v elektronické podobě bude uchovávat na zabezpečených serverech nebo na nosičích dat, ke kterým budou mít přístup pouze pověřené osoby na základě přístupových kódů či hesel, a bude Osobní údaje pravidelně zálohovat; </w:t>
      </w:r>
    </w:p>
    <w:p w14:paraId="274ABDE3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>písemné dokumenty obsahující Osobní údaje bude uchovávat na zabezpečeném místě, přičemž bude vést řádnou evidenci o pohybu takových písemných dokumentů;</w:t>
      </w:r>
    </w:p>
    <w:p w14:paraId="796386DA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>Osobní údaje, jejichž zpracováním byl Správcem pověřen či které získal v souvislosti se zpracováním Osobních údajů dle této Smlouvy, uchovávat a shromažďovat odděleně od jiných osobních údajů, které zpracovává pro vlastní potřebu jako správce a/nebo jako zpracovatel na základě pověření jiným správcem;</w:t>
      </w:r>
    </w:p>
    <w:p w14:paraId="7A394DC8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>zajistí neustálou důvěrnost, integritu, dostupnost a odolnost systémů a služeb zpracování;</w:t>
      </w:r>
    </w:p>
    <w:p w14:paraId="0369E3C7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>prostřednictvím vhodných technických prostředků zajistí schopnost obnovit dostupnost Osobních údajů a přístup k nim včas v případě fyzických či technických incidentů;</w:t>
      </w:r>
    </w:p>
    <w:p w14:paraId="1053EEFC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>zajistí pravidelné testování posuzování a hodnocení účinnosti zavedených technických a organizačních opatření pro zajištění bezpečnosti zpracování; a</w:t>
      </w:r>
    </w:p>
    <w:p w14:paraId="7F03FB08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>při ukončení zpracování Osobních údajů zajistí Zpracovatel dle dohody se Správcem bezpečnou fyzickou likvidaci Osobních údajů, nebo tyto Osobní údaje předá Správci.</w:t>
      </w:r>
    </w:p>
    <w:p w14:paraId="56C258AB" w14:textId="77777777" w:rsidR="00273D40" w:rsidRPr="00273D40" w:rsidRDefault="00273D40" w:rsidP="00882B69">
      <w:pPr>
        <w:numPr>
          <w:ilvl w:val="3"/>
          <w:numId w:val="14"/>
        </w:numPr>
        <w:tabs>
          <w:tab w:val="num" w:pos="1276"/>
        </w:tabs>
        <w:suppressAutoHyphens/>
        <w:spacing w:before="120" w:after="120"/>
        <w:ind w:left="1276" w:hanging="709"/>
        <w:jc w:val="both"/>
        <w:rPr>
          <w:rFonts w:ascii="Arial" w:eastAsia="Times New Roman" w:hAnsi="Arial" w:cs="Arial"/>
          <w:sz w:val="20"/>
          <w:szCs w:val="20"/>
        </w:rPr>
      </w:pPr>
      <w:r w:rsidRPr="00273D40">
        <w:rPr>
          <w:rFonts w:ascii="Arial" w:eastAsia="Times New Roman" w:hAnsi="Arial" w:cs="Arial"/>
          <w:sz w:val="20"/>
          <w:szCs w:val="20"/>
        </w:rPr>
        <w:t>Zpracovatel se zavazuje, že na požádání Správci poskytne veškeré potřebné informace o zpracování Osobních údajů a především doloží, že byla realizována technická a organizační opatření.</w:t>
      </w:r>
    </w:p>
    <w:p w14:paraId="78D06E36" w14:textId="77777777" w:rsidR="00273D40" w:rsidRP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3E24">
        <w:rPr>
          <w:rFonts w:ascii="Arial" w:eastAsia="Times New Roman" w:hAnsi="Arial" w:cs="Arial"/>
          <w:sz w:val="20"/>
          <w:szCs w:val="20"/>
          <w:lang w:eastAsia="ar-SA"/>
        </w:rPr>
        <w:t>Zpracovatel se zavazuje poskytnout Správci veškeré informace potřebné k doložení toho, že byly splněny povinnosti zpracování Osobních údajů včetně zpracování prostřednictvím dílčích poddodavatelů, kteří nakládají s Osobními údaji, a umožnit audity, včetně inspekcí, prováděné Správcem nebo jiným auditorem, kterého Správce pověří, a k těmto auditům přispěje.</w:t>
      </w:r>
    </w:p>
    <w:p w14:paraId="6F210281" w14:textId="77777777" w:rsidR="00273D40" w:rsidRP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3E24">
        <w:rPr>
          <w:rFonts w:ascii="Arial" w:eastAsia="Times New Roman" w:hAnsi="Arial" w:cs="Arial"/>
          <w:sz w:val="20"/>
          <w:szCs w:val="20"/>
          <w:lang w:eastAsia="ar-SA"/>
        </w:rPr>
        <w:t xml:space="preserve">Doložená technická a organizační opatření budou základem zpracování Osobních údajů. </w:t>
      </w:r>
      <w:bookmarkStart w:id="0" w:name="_Hlk514075518"/>
      <w:r w:rsidRPr="00B83E24">
        <w:rPr>
          <w:rFonts w:ascii="Arial" w:eastAsia="Times New Roman" w:hAnsi="Arial" w:cs="Arial"/>
          <w:sz w:val="20"/>
          <w:szCs w:val="20"/>
          <w:lang w:eastAsia="ar-SA"/>
        </w:rPr>
        <w:t xml:space="preserve">Pokud bude na základě ověření či auditu provedeného Správcem zjištěno, že technická a organizační opatření zachovávaná Zpracovatelem nejsou v souladu s touto Smlouvou o zpracování a/nebo ZZOÚ a/nebo GDPR dostatečná pro zajištění požadované úrovně zabezpečení odpovídající možnému riziku s ohledem na povahu zpracování Osobních údajů, tj. nastavení technických a organizačních opatření neposkytuje řádnou ochranu a zabezpečení před neoprávněným přístupem, zneužitím, zcizením nebo zničením Osobních údajů, je Zpracovatel povinen neprodleně, nejpozději však do 30 pracovních dní od sdělení výstupů ověření či auditu provedeného Správcem, </w:t>
      </w:r>
      <w:r w:rsidRPr="00B83E2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napravit zjištěné nedostatky a jejich nápravu doložit Správci. Nebude-li z objektivních důvodů možné napravit nedostatky ve lhůtě upravené v předešlé větě, je Zpracovatel povinen tuto skutečnost Správci oznámit, doložit a dohodnout se Správcem objektivně nejbližší možný termín pro jejich odstranění.</w:t>
      </w:r>
      <w:bookmarkEnd w:id="0"/>
    </w:p>
    <w:p w14:paraId="6069F67D" w14:textId="77777777" w:rsidR="00273D40" w:rsidRPr="00B83E24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Technická a organizační opatření podléhají technickému pokroku a vývoji a Zpracovatel může zavést jiná vhodná opatření, pokud nebude zavedením takových opatření snížena úroveň bezpečnosti, která je pro zpracování Osobních údajů dostatečná. Veškeré podstatné změny původně zavedených technických a organizačních opatření musí Zpracovatel doložit. </w:t>
      </w:r>
    </w:p>
    <w:p w14:paraId="5C21FB57" w14:textId="77777777" w:rsidR="00273D40" w:rsidRPr="00273D40" w:rsidRDefault="00273D40" w:rsidP="00091D74">
      <w:pPr>
        <w:keepNext/>
        <w:suppressAutoHyphens/>
        <w:spacing w:before="240" w:after="120"/>
        <w:ind w:left="28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EB421F5" w14:textId="77777777" w:rsidR="00273D40" w:rsidRPr="00091D74" w:rsidRDefault="00273D40" w:rsidP="006E0151">
      <w:pPr>
        <w:pStyle w:val="Odstavecseseznamem"/>
        <w:numPr>
          <w:ilvl w:val="0"/>
          <w:numId w:val="22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>Hlášení bezpečnostních incidentů a vypořádání práv Subjektů údajů</w:t>
      </w:r>
    </w:p>
    <w:p w14:paraId="0AD2D1C1" w14:textId="77777777" w:rsidR="00277BF1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Zpracovatel </w:t>
      </w:r>
      <w:r w:rsidRPr="00277BF1">
        <w:rPr>
          <w:rFonts w:ascii="Arial" w:eastAsia="Times New Roman" w:hAnsi="Arial" w:cs="Arial"/>
          <w:sz w:val="20"/>
          <w:szCs w:val="20"/>
          <w:lang w:eastAsia="ar-SA"/>
        </w:rPr>
        <w:t>je povinen informovat Správce o každém případu ztráty či úniku Osobních údajů, neoprávněné manipulace s Osobními údaji nebo jiného porušení zabezpečení Osobních údajů (dále jen „</w:t>
      </w:r>
      <w:r w:rsidRPr="00277BF1">
        <w:rPr>
          <w:rFonts w:ascii="Arial" w:eastAsia="Times New Roman" w:hAnsi="Arial" w:cs="Arial"/>
          <w:b/>
          <w:sz w:val="20"/>
          <w:szCs w:val="20"/>
          <w:lang w:eastAsia="ar-SA"/>
        </w:rPr>
        <w:t>Porušení zabezpečení Osobních údajů</w:t>
      </w:r>
      <w:r w:rsidRPr="00277BF1">
        <w:rPr>
          <w:rFonts w:ascii="Arial" w:eastAsia="Times New Roman" w:hAnsi="Arial" w:cs="Arial"/>
          <w:sz w:val="20"/>
          <w:szCs w:val="20"/>
          <w:lang w:eastAsia="ar-SA"/>
        </w:rPr>
        <w:t>“), a to bez zbytečného odkladu, nejpozději do 24 hodin od vzniku Porušení zabezpečení Osobních údajů nebo i pouhé hrozby, jestliže Zpracovatel mohl o tomto Porušení zabezpečení Osobních údajů či i o hrozbě vzniku Porušení zabezpečení Osobních údajů vědět při vynaložení veškeré odborné péče. Nemohl-li Zpracovatel zjistit případ skutečného či hrozícího Porušení zabezpečení Osobních údajů před uplynutím lhůty dle předchozí věty tohoto článku, informuje Zpracovatel Správce nejpozději do 24 hodin od okamžiku, kdy se o vzniku Porušení zabezpečení Osobních údajů nebo jeho hrozbě Zpracovatel dozví. Zpracovatel je i po poskytnutí informace Správci povinen být maximálně nápomocen při řešení Porušení zabezpečení Osobních údajů, resp. při přijímání opatření ke zmírnění možných nepříznivých dopadů a zabránění vzniku obdobných situací v budoucnu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54C581CC" w14:textId="77777777" w:rsidR="00277BF1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7BF1">
        <w:rPr>
          <w:rFonts w:ascii="Arial" w:eastAsia="Times New Roman" w:hAnsi="Arial" w:cs="Arial"/>
          <w:sz w:val="20"/>
          <w:szCs w:val="20"/>
          <w:lang w:eastAsia="ar-SA"/>
        </w:rPr>
        <w:t xml:space="preserve">Pokud není ohlášení Správci učiněno nejpozději do 24 hodin, musí Zpracovatel současně s ním uvést důvody tohoto zpoždění. </w:t>
      </w:r>
    </w:p>
    <w:p w14:paraId="38116127" w14:textId="77777777" w:rsidR="00273D40" w:rsidRPr="00277BF1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7BF1">
        <w:rPr>
          <w:rFonts w:ascii="Arial" w:eastAsia="Times New Roman" w:hAnsi="Arial" w:cs="Arial"/>
          <w:sz w:val="20"/>
          <w:szCs w:val="20"/>
          <w:lang w:eastAsia="ar-SA"/>
        </w:rPr>
        <w:t xml:space="preserve">Ohlášení musí obsahovat zejména: </w:t>
      </w:r>
    </w:p>
    <w:p w14:paraId="0DC8DA2E" w14:textId="3A6124A1" w:rsidR="00273D40" w:rsidRPr="00273D40" w:rsidRDefault="00273D40" w:rsidP="00882B69">
      <w:pPr>
        <w:numPr>
          <w:ilvl w:val="0"/>
          <w:numId w:val="11"/>
        </w:num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popis povahy daného případu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orušení zabezpečení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sobních údajů včetně, pokud je to možné, kategorií a přibližného počtu dotčených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ubjektů údajů a kategorií a přibližného množství dotčených záznamů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>sobních údajů;</w:t>
      </w:r>
    </w:p>
    <w:p w14:paraId="6D66D559" w14:textId="5AFF8668" w:rsidR="00273D40" w:rsidRPr="00273D40" w:rsidRDefault="00273D40" w:rsidP="00882B69">
      <w:pPr>
        <w:numPr>
          <w:ilvl w:val="0"/>
          <w:numId w:val="11"/>
        </w:num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popis pravděpodobných důsledků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orušení zabezpečení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>sobních údajů;</w:t>
      </w:r>
    </w:p>
    <w:p w14:paraId="1D13B1D8" w14:textId="41C8B42E" w:rsidR="00273D40" w:rsidRPr="00273D40" w:rsidRDefault="00273D40" w:rsidP="00882B69">
      <w:pPr>
        <w:numPr>
          <w:ilvl w:val="0"/>
          <w:numId w:val="11"/>
        </w:num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popis opatření, které Zpracovatel přijal nebo navrhl k přijetí s cílem vyřešit dané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orušení zabezpečení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sobních údajů, včetně případných opatření ke zmírnění možných nepříznivých dopadů. </w:t>
      </w:r>
    </w:p>
    <w:p w14:paraId="179A5E59" w14:textId="62AFFC2B" w:rsidR="00273D40" w:rsidRPr="00277BF1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7BF1">
        <w:rPr>
          <w:rFonts w:ascii="Arial" w:eastAsia="Times New Roman" w:hAnsi="Arial" w:cs="Arial"/>
          <w:sz w:val="20"/>
          <w:szCs w:val="20"/>
          <w:lang w:eastAsia="ar-SA"/>
        </w:rPr>
        <w:t xml:space="preserve">Zpracovatel se zavazuje být Správci nápomocen při zajišťování povinností dle GDPR, především povinnosti zabezpečit zpracování Osobních údajů, ohlašovat případy Porušení zabezpečení Osobních údajů, zajištění posouzení vlivu na ochranu </w:t>
      </w:r>
      <w:r w:rsidR="00765EEA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277BF1">
        <w:rPr>
          <w:rFonts w:ascii="Arial" w:eastAsia="Times New Roman" w:hAnsi="Arial" w:cs="Arial"/>
          <w:sz w:val="20"/>
          <w:szCs w:val="20"/>
          <w:lang w:eastAsia="ar-SA"/>
        </w:rPr>
        <w:t>sobních údajů či předchozí konzultace s ÚOOÚ, a to při zohlednění povahy zpracování a informací, jež má Zpracovatel k dispozici.</w:t>
      </w:r>
    </w:p>
    <w:p w14:paraId="18223CA0" w14:textId="77777777" w:rsidR="00273D40" w:rsidRPr="00277BF1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7BF1">
        <w:rPr>
          <w:rFonts w:ascii="Arial" w:eastAsia="Times New Roman" w:hAnsi="Arial" w:cs="Arial"/>
          <w:sz w:val="20"/>
          <w:szCs w:val="20"/>
          <w:lang w:eastAsia="ar-SA"/>
        </w:rPr>
        <w:t>Zpracovatel se zavazuje být Správci nápomocen při plnění povinnosti Správce reagovat na žádosti o výkon práv Subjektů údajů, zejména na žádost na přístup k Osobním údajům, na opravu či výmaz Osobních údajů, na omezení zpracování či na přenositelnost Osobních údajů. Za plnění informační povinnosti ve smyslu čl. 13 a 14. GDPR je odpovědný Správce.</w:t>
      </w:r>
    </w:p>
    <w:p w14:paraId="747C73C1" w14:textId="77777777" w:rsidR="00273D40" w:rsidRPr="00273D40" w:rsidRDefault="00273D40" w:rsidP="00091D74">
      <w:pPr>
        <w:keepNext/>
        <w:suppressAutoHyphens/>
        <w:spacing w:before="240" w:after="120"/>
        <w:ind w:left="283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571A4B4" w14:textId="77777777" w:rsidR="00273D40" w:rsidRPr="00091D74" w:rsidRDefault="00273D40" w:rsidP="006E0151">
      <w:pPr>
        <w:pStyle w:val="Odstavecseseznamem"/>
        <w:numPr>
          <w:ilvl w:val="0"/>
          <w:numId w:val="22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>Ukončení zpracování</w:t>
      </w:r>
    </w:p>
    <w:p w14:paraId="4C497BCB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Tato Smlouva o zpracování je uzavřena na dobu účinnosti Hlavní smlouvy. Ukončení Hlavní smlouvy z jakéhokoliv důvodu má za následek automatické ukončení této Smlouvy o zpracování ke dni, ke kterému skončí Hlavní smlouva</w:t>
      </w:r>
      <w:r w:rsidRPr="00C05CB4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 nebude-li Smluvními stranami písemně ujednáno jinak. </w:t>
      </w:r>
    </w:p>
    <w:p w14:paraId="3A1EECA5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Tuto Smlouvu o zpracování lze ukončit i písemnou dohodou Smluvních stran. </w:t>
      </w:r>
    </w:p>
    <w:p w14:paraId="4F693DDF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Správce je oprávněn od této Smlouvy o zpracování jednostranně odstoupit v případě závažného porušení jakékoliv povinnosti Zpracovatele vyplývající z této Smlouvy o zpracování a/nebo ze ZZOÚ a/nebo GDPR. Za 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závažné porušení této Smlouvy o zpracování je považováno zejména porušení povinností Zpracovatele uvedených v článku 3, 4, 5 a 7 této Smlouvy o zpracování.</w:t>
      </w:r>
    </w:p>
    <w:p w14:paraId="13777C3D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Osobní údaje budou Zpracovatelem zpracovávány a uchovávány po dobu trvání Hlavní smlouvy. </w:t>
      </w:r>
    </w:p>
    <w:p w14:paraId="69E5FD09" w14:textId="7B39690B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Po ukončení Hlavní smlouvy</w:t>
      </w:r>
      <w:r w:rsidRPr="00C05CB4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 je Zpracovatel povinen Osobní údaje předat zpět Správci, a to v oboustranně dohodnutém termínu a na vhodném datovém nosiči nebo jiným elektronickým způs</w:t>
      </w:r>
      <w:r w:rsidR="00E66919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bem, nevylučuje-li to povaha zpracování Osobních údajů. </w:t>
      </w:r>
    </w:p>
    <w:p w14:paraId="37292A0C" w14:textId="7F8EBFA0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Po předání Osobních údajů zpět Správci se Zpracovatel zavazuje bezodkladně, nejpozději však do jednoho (1) kalendářního měsíce po ukončení účinnosti Hlavní smlouvy</w:t>
      </w:r>
      <w:r w:rsidRPr="00C05CB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uchovávané Správci nepředané Osobní údaje zlikvidovat, např. vymazat z elektronických úložišť či skartovat listiny, ledaže je Zpracovatel oprávněn uchovávat Osobní údaje i po ukončení účinnosti Smlouvy o zpracování na základě příslušného právního titulu dle čl. 6 GDPR. </w:t>
      </w:r>
    </w:p>
    <w:p w14:paraId="413ED7CA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Zpracovatel je po zániku této Smlouvy o zpracování povinen dodržovat veškeré povinnosti plynoucí z GDPR a ZZOÚ vedoucí zejména k předejití jakémukoliv neoprávněnému nakládání s Osobními údaji do doby, než dle pokynů Správce tyto Osobní údaje Zpracovatel předá Správci nebo provede jejich bezpečnou likvidaci.</w:t>
      </w:r>
    </w:p>
    <w:p w14:paraId="22E93A86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Povinnost zachování důvěrné povahy Osobních údajů trvá i po ukončení této Smlouvy o zpracování.</w:t>
      </w:r>
    </w:p>
    <w:p w14:paraId="6876EDDC" w14:textId="77777777" w:rsidR="00273D40" w:rsidRPr="00273D40" w:rsidRDefault="00273D40" w:rsidP="00091D74">
      <w:pPr>
        <w:keepNext/>
        <w:suppressAutoHyphens/>
        <w:spacing w:before="240" w:after="120"/>
        <w:ind w:left="28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5900031" w14:textId="77777777" w:rsidR="00273D40" w:rsidRPr="00091D74" w:rsidRDefault="00767069" w:rsidP="006E0151">
      <w:pPr>
        <w:pStyle w:val="Odstavecseseznamem"/>
        <w:numPr>
          <w:ilvl w:val="0"/>
          <w:numId w:val="22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 xml:space="preserve"> </w:t>
      </w:r>
      <w:r w:rsidR="00273D40" w:rsidRPr="00091D74">
        <w:rPr>
          <w:rFonts w:ascii="Arial" w:eastAsia="Times New Roman" w:hAnsi="Arial" w:cs="Arial"/>
          <w:b/>
          <w:lang w:eastAsia="ar-SA"/>
        </w:rPr>
        <w:t>Mlčenlivost</w:t>
      </w:r>
    </w:p>
    <w:p w14:paraId="4D4D23B5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Zpracovatel se zavazuje, že bude považovat veškerá data vkládaná do Služby za důvěrná, zavazuje se o nich zachovávat mlčenlivost, tj. nesdělí je nikomu, kromě svých zaměstnanců a dílčích subdodavatelů, a to pouze v rozsahu nezbytném pro poskytování Služby. Tato povinnost mlčenlivosti přetrvává i po ukončení účinnosti této Smlouvy o zpracování. </w:t>
      </w:r>
    </w:p>
    <w:p w14:paraId="235FC37A" w14:textId="77777777" w:rsidR="00273D40" w:rsidRPr="00273D40" w:rsidRDefault="00273D40" w:rsidP="00091D74">
      <w:pPr>
        <w:suppressAutoHyphens/>
        <w:spacing w:before="240" w:after="120"/>
        <w:ind w:left="28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BDAE84D" w14:textId="77777777" w:rsidR="00273D40" w:rsidRPr="00091D74" w:rsidRDefault="00273D40" w:rsidP="006E0151">
      <w:pPr>
        <w:pStyle w:val="Odstavecseseznamem"/>
        <w:numPr>
          <w:ilvl w:val="0"/>
          <w:numId w:val="22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>Sankce za porušení Smlouvy</w:t>
      </w:r>
    </w:p>
    <w:p w14:paraId="356961AB" w14:textId="590D701B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V případě nedodržení jakékoliv povinnosti Zpracovatele vyplývající z této Smlouvy o zpracování, zejména zapojení dílčího poddodavatele do zpracování Osobních údajů přes nesouhlas Správce dle článku 3 této Smlouvy o zpracování, povinnosti technicky a organizačně zabezpečit ochranu zpracovávaných Osobních údajů dle článku 4 této Smlouvy o zpracování, povinnosti mlčenlivosti dle článku 7 této Smlouvy, povinnosti spočívající ve zlikvidování osobních údajů ve stanovené maximální lhůtě dle článku 6 této Smlouvy o zp</w:t>
      </w:r>
      <w:r w:rsidR="000D58C3">
        <w:rPr>
          <w:rFonts w:ascii="Arial" w:eastAsia="Times New Roman" w:hAnsi="Arial" w:cs="Arial"/>
          <w:sz w:val="20"/>
          <w:szCs w:val="20"/>
          <w:lang w:eastAsia="ar-SA"/>
        </w:rPr>
        <w:t>r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acování, má Správce právo uplatnit vůči Zpracovateli smluvní pokutu ve výši </w:t>
      </w:r>
      <w:r w:rsidR="006E0151">
        <w:rPr>
          <w:rFonts w:ascii="Arial" w:eastAsia="Times New Roman" w:hAnsi="Arial" w:cs="Arial"/>
          <w:sz w:val="20"/>
          <w:szCs w:val="20"/>
          <w:lang w:eastAsia="ar-SA"/>
        </w:rPr>
        <w:t>100.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000,- Kč (slovy: </w:t>
      </w:r>
      <w:r w:rsidR="006E0151">
        <w:rPr>
          <w:rFonts w:ascii="Arial" w:eastAsia="Times New Roman" w:hAnsi="Arial" w:cs="Arial"/>
          <w:sz w:val="20"/>
          <w:szCs w:val="20"/>
          <w:lang w:eastAsia="ar-SA"/>
        </w:rPr>
        <w:t xml:space="preserve">sto 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0D58C3">
        <w:rPr>
          <w:rFonts w:ascii="Arial" w:eastAsia="Times New Roman" w:hAnsi="Arial" w:cs="Arial"/>
          <w:sz w:val="20"/>
          <w:szCs w:val="20"/>
          <w:lang w:eastAsia="ar-SA"/>
        </w:rPr>
        <w:t xml:space="preserve">isíc 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korun českých) za každý případ porušení některé z povinností podle této Smlouvy o zpracování.  </w:t>
      </w:r>
    </w:p>
    <w:p w14:paraId="26D4A3C8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Smluvní pokuta je splatná ve lhůtě třiceti (30) kalendářních dnů od doručení písemné výzvy oprávněné Smluvní strany Smluvní straně povinné ze smluvní pokuty.</w:t>
      </w:r>
    </w:p>
    <w:p w14:paraId="469BEE25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Zaplacení smluvní pokuty dle předchozích odstavců tohoto článku nemá vliv na nárok oprávněné Smluvní strany domáhat se náhrady škody v plné výši způsobené porušením povinnosti, které je zajištěno touto smluvní pokutou a ani na povinnost Smluvní strany povinné ze smluvní pokuty splnit závazek zajištěný smluvní pokutou. </w:t>
      </w:r>
    </w:p>
    <w:p w14:paraId="71074C5E" w14:textId="15548A30" w:rsid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Právo Smluvní strany na smluvní pokutu a na náhradu škody přetrvává i po ukončení této Smlouvy o zpracování.  </w:t>
      </w:r>
    </w:p>
    <w:p w14:paraId="4FB6CA7F" w14:textId="77777777" w:rsidR="00273D40" w:rsidRPr="00273D40" w:rsidRDefault="00273D40" w:rsidP="00091D74">
      <w:pPr>
        <w:suppressAutoHyphens/>
        <w:spacing w:before="240" w:after="120"/>
        <w:ind w:left="283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2834912" w14:textId="77777777" w:rsidR="00273D40" w:rsidRPr="00091D74" w:rsidRDefault="00273D40" w:rsidP="006E0151">
      <w:pPr>
        <w:pStyle w:val="Odstavecseseznamem"/>
        <w:numPr>
          <w:ilvl w:val="0"/>
          <w:numId w:val="22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t>Ostatní ujednání</w:t>
      </w:r>
    </w:p>
    <w:p w14:paraId="4C4E9EBA" w14:textId="0088A1EC" w:rsid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Zpracovatel bere na vědomí, že pokud zpracovává Osobní údaje subjektů údajů bez doloženého pokynu Správce a/nebo zpracovává Osobní údaje ve větším rozsahu, jinými prostředky anebo k jiným účelům, než které jsou uvedeny v této Smlouvě o zpracování (tj. pro vlastní účely), platí, že Osobní údaje nezpracovává pro účely stanovené Správcem a Správce za takové zpracování nenese žádnou odpovědnost. Ve vztahu k těmto Osobním údajům je pak Zpracovatel ve smyslu ZZOÚ</w:t>
      </w:r>
      <w:r w:rsidR="009F1A28">
        <w:rPr>
          <w:rFonts w:ascii="Arial" w:eastAsia="Times New Roman" w:hAnsi="Arial" w:cs="Arial"/>
          <w:sz w:val="20"/>
          <w:szCs w:val="20"/>
          <w:lang w:eastAsia="ar-SA"/>
        </w:rPr>
        <w:t xml:space="preserve"> a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 GDPR v postavení správce osobních údajů a je za jejich zpracování odpovědný v plném rozsahu. </w:t>
      </w:r>
    </w:p>
    <w:p w14:paraId="6901CDB2" w14:textId="77777777" w:rsidR="006E0151" w:rsidRPr="00273D40" w:rsidRDefault="006E0151" w:rsidP="006E0151">
      <w:pPr>
        <w:pStyle w:val="Odstavecseseznamem"/>
        <w:suppressAutoHyphens/>
        <w:spacing w:before="120" w:after="120"/>
        <w:ind w:left="290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CD478C3" w14:textId="77777777" w:rsidR="00273D40" w:rsidRPr="00091D74" w:rsidRDefault="00273D40" w:rsidP="006E0151">
      <w:pPr>
        <w:pStyle w:val="Odstavecseseznamem"/>
        <w:numPr>
          <w:ilvl w:val="0"/>
          <w:numId w:val="22"/>
        </w:numPr>
        <w:suppressAutoHyphens/>
        <w:spacing w:before="120" w:after="120"/>
        <w:ind w:left="1134" w:hanging="1134"/>
        <w:contextualSpacing w:val="0"/>
        <w:jc w:val="center"/>
        <w:rPr>
          <w:rFonts w:ascii="Arial" w:eastAsia="Times New Roman" w:hAnsi="Arial" w:cs="Arial"/>
          <w:b/>
          <w:lang w:eastAsia="ar-SA"/>
        </w:rPr>
      </w:pPr>
      <w:r w:rsidRPr="00091D74">
        <w:rPr>
          <w:rFonts w:ascii="Arial" w:eastAsia="Times New Roman" w:hAnsi="Arial" w:cs="Arial"/>
          <w:b/>
          <w:lang w:eastAsia="ar-SA"/>
        </w:rPr>
        <w:lastRenderedPageBreak/>
        <w:t>Závěrečná ustanovení</w:t>
      </w:r>
    </w:p>
    <w:p w14:paraId="7F91265D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426" w:hanging="568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Tato Smlouva o zpracování nabývá platnosti a účinnosti dnem podpisu oběma Smluvními stranami.</w:t>
      </w:r>
    </w:p>
    <w:p w14:paraId="7E79AD0D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426" w:hanging="568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Tato Smlouva o zpracování může být doplňována anebo měněna s výjimkou změny Přílohy č. 1 pouze písemnými dodatky, které jsou jako takové označeny, číslovány a podepsány oběma Smluvními stranami. Rozsah zpracovávaných osobních údajů stanovený v </w:t>
      </w:r>
      <w:r w:rsidRPr="00665949">
        <w:rPr>
          <w:rFonts w:ascii="Arial" w:eastAsia="Times New Roman" w:hAnsi="Arial" w:cs="Arial"/>
          <w:sz w:val="20"/>
          <w:szCs w:val="20"/>
          <w:lang w:eastAsia="ar-SA"/>
        </w:rPr>
        <w:t>Příloze č. 1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 může Správce rozšířit či jinak změnit při zachování písemné formy i bez nutnosti uzavírat dodatek této Smlouvy (oznámení o změně </w:t>
      </w:r>
      <w:r w:rsidRPr="00665949">
        <w:rPr>
          <w:rFonts w:ascii="Arial" w:eastAsia="Times New Roman" w:hAnsi="Arial" w:cs="Arial"/>
          <w:sz w:val="20"/>
          <w:szCs w:val="20"/>
          <w:lang w:eastAsia="ar-SA"/>
        </w:rPr>
        <w:t>Přílohy č. 1</w:t>
      </w: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 doručené Zpracovateli prostřednictvím e-mailu bude dostačující).</w:t>
      </w:r>
    </w:p>
    <w:p w14:paraId="1CF0C1E3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426" w:hanging="568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 xml:space="preserve">V případě, že některé ustanovení této Smlouvy o zpracování je nebo se stane neplatným či neúčinným, nemá tato skutečnost vliv na ostatní ustanovení této Smlouvy o zpracování, a Smluvní strany se zavazují nahradit takové neplatné či neúčinné ustanovení této Smlouvy o zpracování  ustanovením jiným, platným a účinným, které svým smyslem nejlépe odpovídá účelu této Smlouvy o zpracování, a to do 30 (třiceti) kalendářních dnů od okamžiku, kdy byla o neplatnosti či neúčinnosti takového ujednání prokazatelně informována poslední Smluvní strana. </w:t>
      </w:r>
    </w:p>
    <w:p w14:paraId="5B4AE62C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426" w:hanging="568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Žádná ze Smluvních stran nesmí bez předchozího písemného souhlasu druhé Smluvní strany postoupit Smlouvu o zpracování, jednotlivý závazek ze Smlouvy o zpracování ani pohledávky vzniklé v souvislosti s touto Smlouvou na jiné osoby.</w:t>
      </w:r>
    </w:p>
    <w:p w14:paraId="636D157A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426" w:hanging="568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Tato Smlouva o zpracování je vyhotovena ve třech stejnopisech, z nichž každý má platnost originálu. Správce obdrží dvě a Zpracovatel jedno vyhotovení této Smlouvy o zpracování. V případě, že je Smlouva o zpracování uzavírána elektronicky za využití uznávaných elektronických podpisů, postačí jedno vyhotovení Smlouvy o zpracování, na kterém jsou zaznamenány uznávané elektronické podpisy zástupců Smluvních stran.</w:t>
      </w:r>
    </w:p>
    <w:p w14:paraId="6ADDCDF2" w14:textId="77777777" w:rsidR="00273D40" w:rsidRPr="00273D40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426" w:hanging="568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Smluvní strany prohlašují, že si tuto Smlouvu o zpracování přečetly, že nebyla uzavřena v tísni či za nápadně nevýhodných podmínek, a na důkaz svého souhlasu s jeho obsahem připojují své podpisy.</w:t>
      </w:r>
    </w:p>
    <w:p w14:paraId="673A9D78" w14:textId="4908759B" w:rsidR="00273D40" w:rsidRPr="009F1A28" w:rsidRDefault="00273D40" w:rsidP="006E0151">
      <w:pPr>
        <w:pStyle w:val="Odstavecseseznamem"/>
        <w:numPr>
          <w:ilvl w:val="1"/>
          <w:numId w:val="22"/>
        </w:numPr>
        <w:suppressAutoHyphens/>
        <w:spacing w:before="120" w:after="120"/>
        <w:ind w:left="426" w:hanging="568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sz w:val="20"/>
          <w:szCs w:val="20"/>
          <w:lang w:eastAsia="ar-SA"/>
        </w:rPr>
        <w:t>Nedílnou součást této Smlouvy o zpracování tvoří následující přílohy:</w:t>
      </w:r>
    </w:p>
    <w:p w14:paraId="4EB7F057" w14:textId="77777777" w:rsidR="00273D40" w:rsidRPr="00273D40" w:rsidRDefault="008F5965" w:rsidP="009F1A28">
      <w:pPr>
        <w:spacing w:before="120" w:after="120"/>
        <w:ind w:left="993" w:hanging="567"/>
        <w:jc w:val="both"/>
        <w:outlineLvl w:val="1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8F5965">
        <w:rPr>
          <w:rFonts w:ascii="Arial" w:eastAsia="Times New Roman" w:hAnsi="Arial" w:cs="Arial"/>
          <w:b/>
          <w:bCs/>
          <w:iCs/>
          <w:sz w:val="20"/>
          <w:szCs w:val="20"/>
        </w:rPr>
        <w:t>Přílohy:</w:t>
      </w:r>
      <w:r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</w:t>
      </w:r>
      <w:r w:rsidR="00273D40" w:rsidRPr="00273D40">
        <w:rPr>
          <w:rFonts w:ascii="Arial" w:eastAsia="Times New Roman" w:hAnsi="Arial" w:cs="Arial"/>
          <w:bCs/>
          <w:i/>
          <w:iCs/>
          <w:sz w:val="20"/>
          <w:szCs w:val="20"/>
        </w:rPr>
        <w:t>Příloha č. 1 – Rozsah zpracovávaných Osobních údajů</w:t>
      </w:r>
    </w:p>
    <w:tbl>
      <w:tblPr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05E4" w:rsidRPr="00273D40" w14:paraId="61D09A97" w14:textId="77777777" w:rsidTr="009F1A28">
        <w:tc>
          <w:tcPr>
            <w:tcW w:w="4606" w:type="dxa"/>
          </w:tcPr>
          <w:p w14:paraId="473FCD71" w14:textId="77777777" w:rsidR="00AC05E4" w:rsidRPr="00273D40" w:rsidRDefault="00AC05E4" w:rsidP="00AC05E4">
            <w:p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V 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Brně</w:t>
            </w: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dne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[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BUDE DOPLNĚNO</w:t>
            </w: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]</w:t>
            </w:r>
          </w:p>
        </w:tc>
        <w:tc>
          <w:tcPr>
            <w:tcW w:w="4606" w:type="dxa"/>
          </w:tcPr>
          <w:p w14:paraId="75B953CB" w14:textId="59C056FA" w:rsidR="00AC05E4" w:rsidRPr="00273D40" w:rsidRDefault="00AC05E4" w:rsidP="00AC05E4">
            <w:p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V </w:t>
            </w:r>
            <w:r w:rsidR="009F1A28" w:rsidRPr="00557439">
              <w:rPr>
                <w:rFonts w:ascii="Arial" w:eastAsia="Calibri" w:hAnsi="Arial" w:cs="Arial"/>
                <w:sz w:val="20"/>
                <w:szCs w:val="20"/>
                <w:highlight w:val="yellow"/>
                <w:shd w:val="clear" w:color="auto" w:fill="FFFFFF"/>
              </w:rPr>
              <w:t>[BUDE DOPLNĚNO]</w:t>
            </w: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dne </w:t>
            </w: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[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BUDE DOPLNĚNO</w:t>
            </w: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]</w:t>
            </w:r>
          </w:p>
        </w:tc>
      </w:tr>
      <w:tr w:rsidR="00AC05E4" w:rsidRPr="00273D40" w14:paraId="7911F0DA" w14:textId="77777777" w:rsidTr="009F1A28">
        <w:tc>
          <w:tcPr>
            <w:tcW w:w="4606" w:type="dxa"/>
          </w:tcPr>
          <w:p w14:paraId="1AC778D6" w14:textId="77777777" w:rsidR="00AC05E4" w:rsidRPr="00273D40" w:rsidRDefault="00AC05E4" w:rsidP="00AC05E4">
            <w:p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71736562" w14:textId="77777777" w:rsidR="00AC05E4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A5526F3" w14:textId="77777777" w:rsidR="009F1A28" w:rsidRPr="00273D40" w:rsidRDefault="009F1A28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730550EB" w14:textId="77777777" w:rsidR="00AC05E4" w:rsidRPr="00273D40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____________________________________</w:t>
            </w:r>
          </w:p>
          <w:p w14:paraId="2DFE2C00" w14:textId="77777777" w:rsidR="00AC05E4" w:rsidRPr="001B2AB5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eastAsia="ar-SA"/>
              </w:rPr>
              <w:t>KORDIS JMK</w:t>
            </w:r>
            <w:r w:rsidRPr="001B2AB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, a.s.</w:t>
            </w:r>
          </w:p>
          <w:p w14:paraId="0AEAD3BF" w14:textId="77777777" w:rsidR="00AC05E4" w:rsidRPr="00273D40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[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BUDE DOPLNĚNO JMÉNO A FUNKCE</w:t>
            </w: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]</w:t>
            </w:r>
          </w:p>
          <w:p w14:paraId="6DC9EE65" w14:textId="77777777" w:rsidR="00AC05E4" w:rsidRPr="00273D40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(Správce)</w:t>
            </w:r>
          </w:p>
        </w:tc>
        <w:tc>
          <w:tcPr>
            <w:tcW w:w="4606" w:type="dxa"/>
          </w:tcPr>
          <w:p w14:paraId="76CB98BE" w14:textId="77777777" w:rsidR="00AC05E4" w:rsidRPr="00273D40" w:rsidRDefault="00AC05E4" w:rsidP="00AC05E4">
            <w:p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7BAF9B32" w14:textId="77777777" w:rsidR="00AC05E4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E3A4E9E" w14:textId="77777777" w:rsidR="009F1A28" w:rsidRPr="00273D40" w:rsidRDefault="009F1A28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AE1B5D7" w14:textId="77777777" w:rsidR="00AC05E4" w:rsidRPr="00273D40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____________________________________</w:t>
            </w:r>
          </w:p>
          <w:p w14:paraId="6009C980" w14:textId="77777777" w:rsidR="00AC05E4" w:rsidRDefault="00AC05E4" w:rsidP="00AC05E4">
            <w:pPr>
              <w:suppressAutoHyphens/>
              <w:spacing w:after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[BUDE DOPLNĚN NÁZEV DRUHÉ SMLUVNÍ STRANY]</w:t>
            </w:r>
          </w:p>
          <w:p w14:paraId="72842FE1" w14:textId="77777777" w:rsidR="00AC05E4" w:rsidRPr="00273D40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[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BUDE DOPLNĚNO JMÉNO A FUNKCE</w:t>
            </w:r>
            <w:r w:rsidRPr="00273D40">
              <w:rPr>
                <w:rFonts w:ascii="Arial" w:eastAsia="Calibri" w:hAnsi="Arial" w:cs="Arial"/>
                <w:color w:val="000000"/>
                <w:sz w:val="20"/>
                <w:szCs w:val="20"/>
                <w:highlight w:val="yellow"/>
                <w:shd w:val="clear" w:color="auto" w:fill="FFFFFF"/>
              </w:rPr>
              <w:t>]</w:t>
            </w:r>
          </w:p>
          <w:p w14:paraId="542DB8A8" w14:textId="77777777" w:rsidR="00AC05E4" w:rsidRPr="00273D40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73D4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(Zpracovatel)</w:t>
            </w:r>
          </w:p>
        </w:tc>
      </w:tr>
      <w:tr w:rsidR="00AC05E4" w:rsidRPr="00273D40" w14:paraId="6702BE5C" w14:textId="77777777" w:rsidTr="009F1A28">
        <w:tc>
          <w:tcPr>
            <w:tcW w:w="4606" w:type="dxa"/>
          </w:tcPr>
          <w:p w14:paraId="4051C3A5" w14:textId="77777777" w:rsidR="00AC05E4" w:rsidRPr="00273D40" w:rsidRDefault="00AC05E4" w:rsidP="00AC05E4">
            <w:p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06" w:type="dxa"/>
          </w:tcPr>
          <w:p w14:paraId="1BCB72E0" w14:textId="77777777" w:rsidR="00AC05E4" w:rsidRPr="00273D40" w:rsidRDefault="00AC05E4" w:rsidP="00AC05E4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18C1B17" w14:textId="77777777" w:rsidR="00273D40" w:rsidRDefault="00273D40" w:rsidP="00273D4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F800E4" w14:textId="77777777" w:rsidR="00C16667" w:rsidRPr="00273D40" w:rsidRDefault="00C16667" w:rsidP="00273D4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8EE3A2" w14:textId="77777777" w:rsidR="009F1A28" w:rsidRDefault="009F1A28">
      <w:pPr>
        <w:rPr>
          <w:rFonts w:ascii="Arial" w:eastAsia="Times New Roman" w:hAnsi="Arial" w:cs="Arial"/>
          <w:b/>
          <w:cap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caps/>
          <w:sz w:val="20"/>
          <w:szCs w:val="20"/>
          <w:lang w:eastAsia="ar-SA"/>
        </w:rPr>
        <w:br w:type="page"/>
      </w:r>
    </w:p>
    <w:p w14:paraId="5A1F9598" w14:textId="2AE02F9A" w:rsidR="00273D40" w:rsidRPr="00273D40" w:rsidRDefault="00273D40" w:rsidP="009F1A28">
      <w:pPr>
        <w:rPr>
          <w:rFonts w:ascii="Arial" w:eastAsia="Times New Roman" w:hAnsi="Arial" w:cs="Arial"/>
          <w:b/>
          <w:caps/>
          <w:sz w:val="20"/>
          <w:szCs w:val="20"/>
          <w:lang w:eastAsia="ar-SA"/>
        </w:rPr>
      </w:pPr>
      <w:r w:rsidRPr="00273D40">
        <w:rPr>
          <w:rFonts w:ascii="Arial" w:eastAsia="Times New Roman" w:hAnsi="Arial" w:cs="Arial"/>
          <w:b/>
          <w:caps/>
          <w:sz w:val="20"/>
          <w:szCs w:val="20"/>
          <w:lang w:eastAsia="ar-SA"/>
        </w:rPr>
        <w:lastRenderedPageBreak/>
        <w:t>Příloha č. 1</w:t>
      </w:r>
    </w:p>
    <w:p w14:paraId="08BAD205" w14:textId="77777777" w:rsidR="00665949" w:rsidRDefault="00665949" w:rsidP="00273D40">
      <w:pPr>
        <w:suppressAutoHyphens/>
        <w:spacing w:after="0"/>
        <w:jc w:val="center"/>
        <w:rPr>
          <w:rFonts w:ascii="Arial" w:eastAsia="Times New Roman" w:hAnsi="Arial" w:cs="Arial"/>
          <w:b/>
          <w:caps/>
          <w:sz w:val="20"/>
          <w:szCs w:val="20"/>
          <w:lang w:eastAsia="ar-SA"/>
        </w:rPr>
      </w:pPr>
    </w:p>
    <w:p w14:paraId="0217CF94" w14:textId="77777777" w:rsidR="00273D40" w:rsidRPr="00665949" w:rsidRDefault="00273D40" w:rsidP="00273D40">
      <w:pPr>
        <w:suppressAutoHyphens/>
        <w:spacing w:after="0"/>
        <w:jc w:val="center"/>
        <w:rPr>
          <w:rFonts w:ascii="Arial" w:eastAsia="Times New Roman" w:hAnsi="Arial" w:cs="Arial"/>
          <w:b/>
          <w:caps/>
          <w:sz w:val="24"/>
          <w:szCs w:val="20"/>
          <w:u w:val="single"/>
          <w:lang w:eastAsia="ar-SA"/>
        </w:rPr>
      </w:pPr>
      <w:r w:rsidRPr="00665949">
        <w:rPr>
          <w:rFonts w:ascii="Arial" w:eastAsia="Times New Roman" w:hAnsi="Arial" w:cs="Arial"/>
          <w:b/>
          <w:caps/>
          <w:sz w:val="24"/>
          <w:szCs w:val="20"/>
          <w:lang w:eastAsia="ar-SA"/>
        </w:rPr>
        <w:t>Rozsah zpracovávaných Osobních údajů</w:t>
      </w:r>
    </w:p>
    <w:p w14:paraId="6683185C" w14:textId="77777777" w:rsidR="00273D40" w:rsidRPr="00273D40" w:rsidRDefault="00273D40" w:rsidP="00273D40">
      <w:pPr>
        <w:spacing w:after="0"/>
        <w:ind w:left="567" w:hanging="567"/>
        <w:jc w:val="both"/>
        <w:outlineLvl w:val="1"/>
        <w:rPr>
          <w:rFonts w:ascii="Arial" w:eastAsia="Times New Roman" w:hAnsi="Arial" w:cs="Arial"/>
          <w:bCs/>
          <w:iCs/>
          <w:sz w:val="20"/>
          <w:szCs w:val="20"/>
        </w:rPr>
      </w:pPr>
    </w:p>
    <w:p w14:paraId="4E4A7916" w14:textId="77777777" w:rsidR="00273D40" w:rsidRPr="00273D40" w:rsidRDefault="00273D40" w:rsidP="00273D40">
      <w:pPr>
        <w:spacing w:after="0"/>
        <w:jc w:val="both"/>
        <w:outlineLvl w:val="1"/>
        <w:rPr>
          <w:rFonts w:ascii="Arial" w:eastAsia="Times New Roman" w:hAnsi="Arial" w:cs="Arial"/>
          <w:bCs/>
          <w:iCs/>
          <w:sz w:val="20"/>
          <w:szCs w:val="20"/>
        </w:rPr>
      </w:pPr>
      <w:r w:rsidRPr="00273D40">
        <w:rPr>
          <w:rFonts w:ascii="Arial" w:eastAsia="Times New Roman" w:hAnsi="Arial" w:cs="Arial"/>
          <w:bCs/>
          <w:iCs/>
          <w:sz w:val="20"/>
          <w:szCs w:val="20"/>
        </w:rPr>
        <w:t>Zpracovatel bude zpracovávat Osobní údaje Subjektů údajů dle Smlouvy o zpracování zejména v následujícím rozsahu:</w:t>
      </w:r>
    </w:p>
    <w:p w14:paraId="1A140E8C" w14:textId="77777777" w:rsidR="00273D40" w:rsidRPr="00600C97" w:rsidRDefault="00273D40" w:rsidP="00273D40">
      <w:pPr>
        <w:spacing w:after="0"/>
        <w:jc w:val="both"/>
        <w:outlineLvl w:val="1"/>
        <w:rPr>
          <w:rFonts w:ascii="Arial" w:eastAsia="Times New Roman" w:hAnsi="Arial" w:cs="Arial"/>
          <w:bCs/>
          <w:iCs/>
          <w:sz w:val="20"/>
          <w:szCs w:val="20"/>
        </w:rPr>
      </w:pPr>
    </w:p>
    <w:p w14:paraId="462619C3" w14:textId="73A1199B" w:rsidR="00B914E6" w:rsidRPr="00600C97" w:rsidRDefault="005062DC" w:rsidP="00B914E6">
      <w:pPr>
        <w:keepLines/>
        <w:numPr>
          <w:ilvl w:val="2"/>
          <w:numId w:val="15"/>
        </w:numPr>
        <w:tabs>
          <w:tab w:val="num" w:pos="993"/>
        </w:tabs>
        <w:suppressAutoHyphens/>
        <w:spacing w:after="0"/>
        <w:ind w:hanging="71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[</w:t>
      </w:r>
      <w:r w:rsidRPr="009F1A28">
        <w:rPr>
          <w:rFonts w:ascii="Arial" w:eastAsia="Times New Roman" w:hAnsi="Arial" w:cs="Arial"/>
          <w:sz w:val="20"/>
          <w:szCs w:val="20"/>
          <w:highlight w:val="yellow"/>
        </w:rPr>
        <w:t>BUDE DOPLNĚNO PŘED PODPISEM SMLOUVY</w:t>
      </w:r>
      <w:r>
        <w:rPr>
          <w:rFonts w:ascii="Arial" w:eastAsia="Times New Roman" w:hAnsi="Arial" w:cs="Arial"/>
          <w:sz w:val="20"/>
          <w:szCs w:val="20"/>
        </w:rPr>
        <w:t>]</w:t>
      </w:r>
    </w:p>
    <w:p w14:paraId="5F088D82" w14:textId="30D23AF5" w:rsidR="00B914E6" w:rsidRPr="00600C97" w:rsidRDefault="00B914E6" w:rsidP="00B914E6">
      <w:pPr>
        <w:keepLines/>
        <w:tabs>
          <w:tab w:val="num" w:pos="1277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118E2A07" w14:textId="4257444D" w:rsidR="00B914E6" w:rsidRPr="00600C97" w:rsidRDefault="00B914E6" w:rsidP="00B914E6">
      <w:pPr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00C97">
        <w:rPr>
          <w:rFonts w:ascii="Arial" w:eastAsia="Times New Roman" w:hAnsi="Arial" w:cs="Arial"/>
          <w:sz w:val="20"/>
          <w:szCs w:val="20"/>
        </w:rPr>
        <w:t xml:space="preserve">Předmětem zpracování jsou Osobní údaje následujících </w:t>
      </w:r>
      <w:r w:rsidR="00C90C00" w:rsidRPr="00600C97">
        <w:rPr>
          <w:rFonts w:ascii="Arial" w:eastAsia="Times New Roman" w:hAnsi="Arial" w:cs="Arial"/>
          <w:sz w:val="20"/>
          <w:szCs w:val="20"/>
        </w:rPr>
        <w:t xml:space="preserve">kategorií </w:t>
      </w:r>
      <w:r w:rsidRPr="00600C97">
        <w:rPr>
          <w:rFonts w:ascii="Arial" w:eastAsia="Times New Roman" w:hAnsi="Arial" w:cs="Arial"/>
          <w:sz w:val="20"/>
          <w:szCs w:val="20"/>
        </w:rPr>
        <w:t>Subjektů údajů:</w:t>
      </w:r>
    </w:p>
    <w:p w14:paraId="28E41C89" w14:textId="77777777" w:rsidR="00600C97" w:rsidRPr="00600C97" w:rsidRDefault="00600C97" w:rsidP="00B914E6">
      <w:pPr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4C6C11CF" w14:textId="362DB97A" w:rsidR="00B914E6" w:rsidRPr="00BE0C37" w:rsidRDefault="005062DC" w:rsidP="004220ED">
      <w:pPr>
        <w:keepLines/>
        <w:numPr>
          <w:ilvl w:val="2"/>
          <w:numId w:val="21"/>
        </w:numPr>
        <w:tabs>
          <w:tab w:val="clear" w:pos="1277"/>
        </w:tabs>
        <w:suppressAutoHyphens/>
        <w:spacing w:after="120"/>
        <w:ind w:left="993" w:hanging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[</w:t>
      </w:r>
      <w:r w:rsidRPr="009F1A28">
        <w:rPr>
          <w:rFonts w:ascii="Arial" w:eastAsia="Times New Roman" w:hAnsi="Arial" w:cs="Arial"/>
          <w:sz w:val="20"/>
          <w:szCs w:val="20"/>
          <w:highlight w:val="yellow"/>
        </w:rPr>
        <w:t>BUDE DOPLNĚNO PŘED PODPISEM SMLOUVY</w:t>
      </w:r>
      <w:r>
        <w:rPr>
          <w:rFonts w:ascii="Arial" w:eastAsia="Times New Roman" w:hAnsi="Arial" w:cs="Arial"/>
          <w:sz w:val="20"/>
          <w:szCs w:val="20"/>
        </w:rPr>
        <w:t>]</w:t>
      </w:r>
    </w:p>
    <w:sectPr w:rsidR="00B914E6" w:rsidRPr="00BE0C37" w:rsidSect="005B336A">
      <w:headerReference w:type="default" r:id="rId8"/>
      <w:footerReference w:type="default" r:id="rId9"/>
      <w:pgSz w:w="11906" w:h="16838"/>
      <w:pgMar w:top="420" w:right="720" w:bottom="720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20786" w14:textId="77777777" w:rsidR="005B336A" w:rsidRDefault="005B336A" w:rsidP="001C3BEF">
      <w:pPr>
        <w:spacing w:after="0" w:line="240" w:lineRule="auto"/>
      </w:pPr>
      <w:r>
        <w:separator/>
      </w:r>
    </w:p>
  </w:endnote>
  <w:endnote w:type="continuationSeparator" w:id="0">
    <w:p w14:paraId="0BAA186D" w14:textId="77777777" w:rsidR="005B336A" w:rsidRDefault="005B336A" w:rsidP="001C3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415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477590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22BBA6" w14:textId="1C320B7D" w:rsidR="009224C8" w:rsidRDefault="009224C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D04F87" w14:textId="716C7072" w:rsidR="00631EC4" w:rsidRPr="00826D4F" w:rsidRDefault="00631EC4">
    <w:pPr>
      <w:pStyle w:val="Zpat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70FC7" w14:textId="77777777" w:rsidR="005B336A" w:rsidRDefault="005B336A" w:rsidP="001C3BEF">
      <w:pPr>
        <w:spacing w:after="0" w:line="240" w:lineRule="auto"/>
      </w:pPr>
      <w:r>
        <w:separator/>
      </w:r>
    </w:p>
  </w:footnote>
  <w:footnote w:type="continuationSeparator" w:id="0">
    <w:p w14:paraId="3BB53E80" w14:textId="77777777" w:rsidR="005B336A" w:rsidRDefault="005B336A" w:rsidP="001C3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2EAFB" w14:textId="77777777" w:rsidR="00631EC4" w:rsidRDefault="00631EC4">
    <w:pPr>
      <w:pStyle w:val="Zhlav"/>
    </w:pPr>
  </w:p>
  <w:p w14:paraId="42CD8875" w14:textId="77777777" w:rsidR="00631EC4" w:rsidRDefault="00631E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F89080"/>
    <w:name w:val="WWNum1"/>
    <w:lvl w:ilvl="0">
      <w:start w:val="1"/>
      <w:numFmt w:val="bullet"/>
      <w:lvlText w:val=""/>
      <w:lvlJc w:val="left"/>
      <w:pPr>
        <w:tabs>
          <w:tab w:val="num" w:pos="624"/>
        </w:tabs>
        <w:ind w:left="624" w:hanging="624"/>
      </w:pPr>
      <w:rPr>
        <w:rFonts w:ascii="Symbol" w:hAnsi="Symbol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2"/>
      </w:rPr>
    </w:lvl>
    <w:lvl w:ilvl="2">
      <w:start w:val="1"/>
      <w:numFmt w:val="lowerLetter"/>
      <w:lvlText w:val="(%2.%3)"/>
      <w:lvlJc w:val="left"/>
      <w:pPr>
        <w:tabs>
          <w:tab w:val="num" w:pos="624"/>
        </w:tabs>
        <w:ind w:left="624" w:hanging="624"/>
      </w:pPr>
      <w:rPr>
        <w:b w:val="0"/>
        <w:i w:val="0"/>
        <w:sz w:val="22"/>
      </w:rPr>
    </w:lvl>
    <w:lvl w:ilvl="3">
      <w:start w:val="1"/>
      <w:numFmt w:val="lowerRoman"/>
      <w:lvlText w:val="(%2.%3.%4)"/>
      <w:lvlJc w:val="left"/>
      <w:pPr>
        <w:tabs>
          <w:tab w:val="num" w:pos="1361"/>
        </w:tabs>
        <w:ind w:left="1361" w:hanging="737"/>
      </w:pPr>
      <w:rPr>
        <w:b w:val="0"/>
        <w:i w:val="0"/>
        <w:sz w:val="22"/>
      </w:rPr>
    </w:lvl>
    <w:lvl w:ilvl="4">
      <w:start w:val="1"/>
      <w:numFmt w:val="lowerLetter"/>
      <w:lvlText w:val="(%2.%3.%4.%5)"/>
      <w:lvlJc w:val="left"/>
      <w:pPr>
        <w:tabs>
          <w:tab w:val="num" w:pos="1361"/>
        </w:tabs>
        <w:ind w:left="1361" w:hanging="737"/>
      </w:pPr>
      <w:rPr>
        <w:b w:val="0"/>
        <w:i w:val="0"/>
        <w:sz w:val="22"/>
      </w:rPr>
    </w:lvl>
    <w:lvl w:ilvl="5">
      <w:start w:val="1"/>
      <w:numFmt w:val="lowerRoman"/>
      <w:lvlText w:val="(%2.%3.%4.%5.%6)"/>
      <w:lvlJc w:val="left"/>
      <w:pPr>
        <w:tabs>
          <w:tab w:val="num" w:pos="2041"/>
        </w:tabs>
        <w:ind w:left="2041" w:hanging="680"/>
      </w:pPr>
      <w:rPr>
        <w:b w:val="0"/>
        <w:i w:val="0"/>
        <w:sz w:val="22"/>
      </w:rPr>
    </w:lvl>
    <w:lvl w:ilvl="6">
      <w:start w:val="1"/>
      <w:numFmt w:val="upperLetter"/>
      <w:lvlText w:val="(%2.%3.%4.%5.%6.%7)"/>
      <w:lvlJc w:val="left"/>
      <w:pPr>
        <w:tabs>
          <w:tab w:val="num" w:pos="2041"/>
        </w:tabs>
        <w:ind w:left="2041" w:hanging="680"/>
      </w:pPr>
      <w:rPr>
        <w:b w:val="0"/>
        <w:i w:val="0"/>
        <w:sz w:val="22"/>
      </w:rPr>
    </w:lvl>
    <w:lvl w:ilvl="7">
      <w:start w:val="1"/>
      <w:numFmt w:val="upperLetter"/>
      <w:lvlText w:val="(%2.%3.%4.%5.%6.%7.%8)"/>
      <w:lvlJc w:val="left"/>
      <w:pPr>
        <w:tabs>
          <w:tab w:val="num" w:pos="2722"/>
        </w:tabs>
        <w:ind w:left="2722" w:hanging="681"/>
      </w:pPr>
      <w:rPr>
        <w:b w:val="0"/>
        <w:i w:val="0"/>
        <w:sz w:val="22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76F6319"/>
    <w:multiLevelType w:val="hybridMultilevel"/>
    <w:tmpl w:val="B810C10C"/>
    <w:lvl w:ilvl="0" w:tplc="1590867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642CAD"/>
    <w:multiLevelType w:val="multilevel"/>
    <w:tmpl w:val="7DC467AA"/>
    <w:lvl w:ilvl="0">
      <w:start w:val="3"/>
      <w:numFmt w:val="decimal"/>
      <w:lvlText w:val="Článek %1."/>
      <w:lvlJc w:val="left"/>
      <w:pPr>
        <w:ind w:left="4472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487C0C"/>
    <w:multiLevelType w:val="hybridMultilevel"/>
    <w:tmpl w:val="31BE8BEA"/>
    <w:lvl w:ilvl="0" w:tplc="AB64AA1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B2EFD"/>
    <w:multiLevelType w:val="hybridMultilevel"/>
    <w:tmpl w:val="A958FF18"/>
    <w:lvl w:ilvl="0" w:tplc="C862101A">
      <w:start w:val="1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C06040"/>
    <w:multiLevelType w:val="hybridMultilevel"/>
    <w:tmpl w:val="81CABEA0"/>
    <w:lvl w:ilvl="0" w:tplc="ABD230F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AD21C2"/>
    <w:multiLevelType w:val="hybridMultilevel"/>
    <w:tmpl w:val="49BE4B10"/>
    <w:lvl w:ilvl="0" w:tplc="23CE01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10012"/>
    <w:multiLevelType w:val="multilevel"/>
    <w:tmpl w:val="AB38056A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F1A1A06"/>
    <w:multiLevelType w:val="hybridMultilevel"/>
    <w:tmpl w:val="AD5AD8F0"/>
    <w:lvl w:ilvl="0" w:tplc="6232B0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1275F"/>
    <w:multiLevelType w:val="multilevel"/>
    <w:tmpl w:val="3244C9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4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425"/>
      </w:pPr>
      <w:rPr>
        <w:rFonts w:cs="Times New Roman" w:hint="default"/>
        <w:b w:val="0"/>
        <w:bCs w:val="0"/>
      </w:rPr>
    </w:lvl>
    <w:lvl w:ilvl="3">
      <w:start w:val="3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475133BB"/>
    <w:multiLevelType w:val="hybridMultilevel"/>
    <w:tmpl w:val="D338B5AA"/>
    <w:lvl w:ilvl="0" w:tplc="6BEA70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C3CD5"/>
    <w:multiLevelType w:val="multilevel"/>
    <w:tmpl w:val="A992B416"/>
    <w:lvl w:ilvl="0">
      <w:start w:val="1"/>
      <w:numFmt w:val="decimal"/>
      <w:lvlText w:val="Článek %1."/>
      <w:lvlJc w:val="left"/>
      <w:pPr>
        <w:ind w:left="4472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7869D7"/>
    <w:multiLevelType w:val="hybridMultilevel"/>
    <w:tmpl w:val="33BC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03B0E"/>
    <w:multiLevelType w:val="hybridMultilevel"/>
    <w:tmpl w:val="766A2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116FC"/>
    <w:multiLevelType w:val="multilevel"/>
    <w:tmpl w:val="CC989B74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cs="Times New Roman" w:hint="default"/>
      </w:rPr>
    </w:lvl>
  </w:abstractNum>
  <w:abstractNum w:abstractNumId="15" w15:restartNumberingAfterBreak="0">
    <w:nsid w:val="5D606775"/>
    <w:multiLevelType w:val="hybridMultilevel"/>
    <w:tmpl w:val="B54CCE10"/>
    <w:lvl w:ilvl="0" w:tplc="36D86DA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D57218"/>
    <w:multiLevelType w:val="hybridMultilevel"/>
    <w:tmpl w:val="A43E4EEA"/>
    <w:lvl w:ilvl="0" w:tplc="C862101A">
      <w:start w:val="1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F41DB5"/>
    <w:multiLevelType w:val="multilevel"/>
    <w:tmpl w:val="3244C9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4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425"/>
      </w:pPr>
      <w:rPr>
        <w:rFonts w:cs="Times New Roman" w:hint="default"/>
        <w:b w:val="0"/>
        <w:bCs w:val="0"/>
      </w:rPr>
    </w:lvl>
    <w:lvl w:ilvl="3">
      <w:start w:val="3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6F4B5D6A"/>
    <w:multiLevelType w:val="multilevel"/>
    <w:tmpl w:val="3244C9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4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425"/>
      </w:pPr>
      <w:rPr>
        <w:rFonts w:cs="Times New Roman" w:hint="default"/>
        <w:b w:val="0"/>
        <w:bCs w:val="0"/>
      </w:rPr>
    </w:lvl>
    <w:lvl w:ilvl="3">
      <w:start w:val="3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726310C0"/>
    <w:multiLevelType w:val="hybridMultilevel"/>
    <w:tmpl w:val="B5A87524"/>
    <w:lvl w:ilvl="0" w:tplc="23D8710A">
      <w:start w:val="1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BF2549D"/>
    <w:multiLevelType w:val="hybridMultilevel"/>
    <w:tmpl w:val="C1D0C10E"/>
    <w:lvl w:ilvl="0" w:tplc="0405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21" w15:restartNumberingAfterBreak="0">
    <w:nsid w:val="7E4C6D53"/>
    <w:multiLevelType w:val="multilevel"/>
    <w:tmpl w:val="61C659A6"/>
    <w:lvl w:ilvl="0">
      <w:start w:val="1"/>
      <w:numFmt w:val="decimal"/>
      <w:lvlText w:val="Článek %1."/>
      <w:lvlJc w:val="left"/>
      <w:pPr>
        <w:ind w:left="4472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2469353">
    <w:abstractNumId w:val="8"/>
  </w:num>
  <w:num w:numId="2" w16cid:durableId="70273706">
    <w:abstractNumId w:val="12"/>
  </w:num>
  <w:num w:numId="3" w16cid:durableId="174658684">
    <w:abstractNumId w:val="10"/>
  </w:num>
  <w:num w:numId="4" w16cid:durableId="1601599845">
    <w:abstractNumId w:val="0"/>
  </w:num>
  <w:num w:numId="5" w16cid:durableId="1674987322">
    <w:abstractNumId w:val="13"/>
  </w:num>
  <w:num w:numId="6" w16cid:durableId="204030809">
    <w:abstractNumId w:val="21"/>
  </w:num>
  <w:num w:numId="7" w16cid:durableId="909577352">
    <w:abstractNumId w:val="6"/>
  </w:num>
  <w:num w:numId="8" w16cid:durableId="1686243589">
    <w:abstractNumId w:val="5"/>
  </w:num>
  <w:num w:numId="9" w16cid:durableId="1737125123">
    <w:abstractNumId w:val="15"/>
  </w:num>
  <w:num w:numId="10" w16cid:durableId="228610673">
    <w:abstractNumId w:val="3"/>
  </w:num>
  <w:num w:numId="11" w16cid:durableId="83845111">
    <w:abstractNumId w:val="1"/>
  </w:num>
  <w:num w:numId="12" w16cid:durableId="535581927">
    <w:abstractNumId w:val="7"/>
  </w:num>
  <w:num w:numId="13" w16cid:durableId="1219128460">
    <w:abstractNumId w:val="19"/>
  </w:num>
  <w:num w:numId="14" w16cid:durableId="1256788418">
    <w:abstractNumId w:val="18"/>
  </w:num>
  <w:num w:numId="15" w16cid:durableId="2072193379">
    <w:abstractNumId w:val="9"/>
  </w:num>
  <w:num w:numId="16" w16cid:durableId="723603093">
    <w:abstractNumId w:val="14"/>
  </w:num>
  <w:num w:numId="17" w16cid:durableId="1901086800">
    <w:abstractNumId w:val="4"/>
  </w:num>
  <w:num w:numId="18" w16cid:durableId="2006660234">
    <w:abstractNumId w:val="16"/>
  </w:num>
  <w:num w:numId="19" w16cid:durableId="1706367777">
    <w:abstractNumId w:val="11"/>
  </w:num>
  <w:num w:numId="20" w16cid:durableId="709652427">
    <w:abstractNumId w:val="20"/>
  </w:num>
  <w:num w:numId="21" w16cid:durableId="1389380951">
    <w:abstractNumId w:val="17"/>
  </w:num>
  <w:num w:numId="22" w16cid:durableId="604384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157"/>
    <w:rsid w:val="000463B2"/>
    <w:rsid w:val="000777BF"/>
    <w:rsid w:val="000800DA"/>
    <w:rsid w:val="00091D74"/>
    <w:rsid w:val="000967B0"/>
    <w:rsid w:val="000A34FE"/>
    <w:rsid w:val="000B4684"/>
    <w:rsid w:val="000B49C8"/>
    <w:rsid w:val="000C2CB7"/>
    <w:rsid w:val="000C318E"/>
    <w:rsid w:val="000D35CB"/>
    <w:rsid w:val="000D58C3"/>
    <w:rsid w:val="001824DE"/>
    <w:rsid w:val="001A657D"/>
    <w:rsid w:val="001B2AB5"/>
    <w:rsid w:val="001B52E2"/>
    <w:rsid w:val="001B5FD2"/>
    <w:rsid w:val="001C3BEF"/>
    <w:rsid w:val="001C690E"/>
    <w:rsid w:val="001E3BC8"/>
    <w:rsid w:val="0022059B"/>
    <w:rsid w:val="00231550"/>
    <w:rsid w:val="00242157"/>
    <w:rsid w:val="00250FC2"/>
    <w:rsid w:val="00273D40"/>
    <w:rsid w:val="00277BF1"/>
    <w:rsid w:val="00296F48"/>
    <w:rsid w:val="002D14AF"/>
    <w:rsid w:val="002D2A3F"/>
    <w:rsid w:val="002E6B67"/>
    <w:rsid w:val="003154AB"/>
    <w:rsid w:val="0034763C"/>
    <w:rsid w:val="0035193A"/>
    <w:rsid w:val="003869A2"/>
    <w:rsid w:val="003D4CE8"/>
    <w:rsid w:val="003E06EA"/>
    <w:rsid w:val="00417B0C"/>
    <w:rsid w:val="00420FF4"/>
    <w:rsid w:val="004220ED"/>
    <w:rsid w:val="00447D58"/>
    <w:rsid w:val="004527E7"/>
    <w:rsid w:val="004543A1"/>
    <w:rsid w:val="00454517"/>
    <w:rsid w:val="00470A8A"/>
    <w:rsid w:val="004823E8"/>
    <w:rsid w:val="004905E7"/>
    <w:rsid w:val="004A1000"/>
    <w:rsid w:val="004B0193"/>
    <w:rsid w:val="004B0623"/>
    <w:rsid w:val="004E4208"/>
    <w:rsid w:val="004F5E7D"/>
    <w:rsid w:val="005043F9"/>
    <w:rsid w:val="005062DC"/>
    <w:rsid w:val="00543BF8"/>
    <w:rsid w:val="00545775"/>
    <w:rsid w:val="00557439"/>
    <w:rsid w:val="00577527"/>
    <w:rsid w:val="00597086"/>
    <w:rsid w:val="005A5BCA"/>
    <w:rsid w:val="005B336A"/>
    <w:rsid w:val="005B34F0"/>
    <w:rsid w:val="005C0A46"/>
    <w:rsid w:val="00600C97"/>
    <w:rsid w:val="00621626"/>
    <w:rsid w:val="00631EC4"/>
    <w:rsid w:val="006478D8"/>
    <w:rsid w:val="00647D08"/>
    <w:rsid w:val="00653019"/>
    <w:rsid w:val="0066493E"/>
    <w:rsid w:val="00665949"/>
    <w:rsid w:val="006B7146"/>
    <w:rsid w:val="006C45D6"/>
    <w:rsid w:val="006E0151"/>
    <w:rsid w:val="006E488C"/>
    <w:rsid w:val="006E54E9"/>
    <w:rsid w:val="00745D13"/>
    <w:rsid w:val="00750B27"/>
    <w:rsid w:val="007521EB"/>
    <w:rsid w:val="00765EEA"/>
    <w:rsid w:val="00767069"/>
    <w:rsid w:val="007802C9"/>
    <w:rsid w:val="00781056"/>
    <w:rsid w:val="00791057"/>
    <w:rsid w:val="00814F60"/>
    <w:rsid w:val="00826D4F"/>
    <w:rsid w:val="00831406"/>
    <w:rsid w:val="008557F3"/>
    <w:rsid w:val="008609F6"/>
    <w:rsid w:val="00860AA5"/>
    <w:rsid w:val="00882B69"/>
    <w:rsid w:val="00885FC1"/>
    <w:rsid w:val="008B0ECA"/>
    <w:rsid w:val="008D0061"/>
    <w:rsid w:val="008E1C87"/>
    <w:rsid w:val="008E20D8"/>
    <w:rsid w:val="008F5965"/>
    <w:rsid w:val="0090146B"/>
    <w:rsid w:val="00905FE0"/>
    <w:rsid w:val="009224C8"/>
    <w:rsid w:val="009537C6"/>
    <w:rsid w:val="009D2B40"/>
    <w:rsid w:val="009E0983"/>
    <w:rsid w:val="009F1A28"/>
    <w:rsid w:val="009F6F13"/>
    <w:rsid w:val="00A2214D"/>
    <w:rsid w:val="00A609DC"/>
    <w:rsid w:val="00A71A1D"/>
    <w:rsid w:val="00AC05E4"/>
    <w:rsid w:val="00AC67D2"/>
    <w:rsid w:val="00B01B0E"/>
    <w:rsid w:val="00B035E2"/>
    <w:rsid w:val="00B202A5"/>
    <w:rsid w:val="00B2339C"/>
    <w:rsid w:val="00B24A0E"/>
    <w:rsid w:val="00B83E24"/>
    <w:rsid w:val="00B914E6"/>
    <w:rsid w:val="00BA77FE"/>
    <w:rsid w:val="00BE0C37"/>
    <w:rsid w:val="00BF1C80"/>
    <w:rsid w:val="00BF646D"/>
    <w:rsid w:val="00C040B4"/>
    <w:rsid w:val="00C05CB4"/>
    <w:rsid w:val="00C05E6F"/>
    <w:rsid w:val="00C1210B"/>
    <w:rsid w:val="00C16667"/>
    <w:rsid w:val="00C46D1C"/>
    <w:rsid w:val="00C51255"/>
    <w:rsid w:val="00C57199"/>
    <w:rsid w:val="00C90B28"/>
    <w:rsid w:val="00C90C00"/>
    <w:rsid w:val="00CA2500"/>
    <w:rsid w:val="00CB399D"/>
    <w:rsid w:val="00CD178D"/>
    <w:rsid w:val="00D16B54"/>
    <w:rsid w:val="00D24E24"/>
    <w:rsid w:val="00D31827"/>
    <w:rsid w:val="00D33E7F"/>
    <w:rsid w:val="00D76837"/>
    <w:rsid w:val="00D82EAD"/>
    <w:rsid w:val="00DA214D"/>
    <w:rsid w:val="00DA4BDC"/>
    <w:rsid w:val="00DB2426"/>
    <w:rsid w:val="00DD23BD"/>
    <w:rsid w:val="00E00766"/>
    <w:rsid w:val="00E1274A"/>
    <w:rsid w:val="00E16A06"/>
    <w:rsid w:val="00E341B3"/>
    <w:rsid w:val="00E61E11"/>
    <w:rsid w:val="00E66919"/>
    <w:rsid w:val="00E84309"/>
    <w:rsid w:val="00EA405B"/>
    <w:rsid w:val="00EB3BC8"/>
    <w:rsid w:val="00EB5654"/>
    <w:rsid w:val="00EE3981"/>
    <w:rsid w:val="00F41DEA"/>
    <w:rsid w:val="00F706B1"/>
    <w:rsid w:val="00F968A0"/>
    <w:rsid w:val="00FA2185"/>
    <w:rsid w:val="00FB6474"/>
    <w:rsid w:val="00FE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45BCB"/>
  <w15:docId w15:val="{B2E63E4E-D8A7-42A8-8D5D-E7E52034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9A2"/>
  </w:style>
  <w:style w:type="paragraph" w:styleId="Nadpis1">
    <w:name w:val="heading 1"/>
    <w:basedOn w:val="Normln"/>
    <w:next w:val="Normln"/>
    <w:link w:val="Nadpis1Char"/>
    <w:uiPriority w:val="9"/>
    <w:qFormat/>
    <w:rsid w:val="00273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BEF"/>
  </w:style>
  <w:style w:type="paragraph" w:styleId="Zpat">
    <w:name w:val="footer"/>
    <w:basedOn w:val="Normln"/>
    <w:link w:val="ZpatChar"/>
    <w:uiPriority w:val="99"/>
    <w:unhideWhenUsed/>
    <w:rsid w:val="001C3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BEF"/>
  </w:style>
  <w:style w:type="paragraph" w:styleId="Textbubliny">
    <w:name w:val="Balloon Text"/>
    <w:basedOn w:val="Normln"/>
    <w:link w:val="TextbublinyChar"/>
    <w:uiPriority w:val="99"/>
    <w:semiHidden/>
    <w:unhideWhenUsed/>
    <w:rsid w:val="001C3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B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C3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D0061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70A8A"/>
    <w:rPr>
      <w:color w:val="808080"/>
    </w:rPr>
  </w:style>
  <w:style w:type="paragraph" w:customStyle="1" w:styleId="Odstavecseseznamem1">
    <w:name w:val="Odstavec se seznamem1"/>
    <w:basedOn w:val="Normln"/>
    <w:rsid w:val="003869A2"/>
    <w:pPr>
      <w:suppressAutoHyphens/>
      <w:ind w:left="720"/>
    </w:pPr>
    <w:rPr>
      <w:rFonts w:ascii="Calibri" w:eastAsia="Times New Roman" w:hAnsi="Calibri" w:cs="font415"/>
      <w:color w:val="00000A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3869A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273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rsid w:val="00273D4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3D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273D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43B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543BF8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0983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09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54914-AA1A-4B99-82AC-72D69532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2958</Words>
  <Characters>17458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HVH Legal</dc:creator>
  <cp:lastModifiedBy>Monika Klimšová</cp:lastModifiedBy>
  <cp:revision>2</cp:revision>
  <dcterms:created xsi:type="dcterms:W3CDTF">2024-04-17T13:36:00Z</dcterms:created>
  <dcterms:modified xsi:type="dcterms:W3CDTF">2024-04-17T13:36:00Z</dcterms:modified>
</cp:coreProperties>
</file>